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及地区财税方针政策和法律法规，拟订全县财税规划和改革方案，并组织实施，分析预测经济形势，参与拟订各项综合经济政策，提出运用财税政策实施调控和综合平衡社会财力的建议，拟订和执行全县及企业的分配政策，完善鼓励公益事业发展。</w:t>
      </w:r>
    </w:p>
    <w:p>
      <w:pPr>
        <w:spacing w:line="580" w:lineRule="exact"/>
        <w:ind w:firstLine="640"/>
        <w:jc w:val="both"/>
      </w:pPr>
      <w:r>
        <w:rPr>
          <w:rFonts w:ascii="仿宋_GB2312" w:hAnsi="仿宋_GB2312" w:eastAsia="仿宋_GB2312"/>
          <w:sz w:val="32"/>
        </w:rPr>
        <w:t>（二）负责起草财政、财务、会计管理规范性文件。</w:t>
      </w:r>
    </w:p>
    <w:p>
      <w:pPr>
        <w:spacing w:line="580" w:lineRule="exact"/>
        <w:ind w:firstLine="640"/>
        <w:jc w:val="both"/>
      </w:pPr>
      <w:r>
        <w:rPr>
          <w:rFonts w:ascii="仿宋_GB2312" w:hAnsi="仿宋_GB2312" w:eastAsia="仿宋_GB2312"/>
          <w:sz w:val="32"/>
        </w:rPr>
        <w:t>（三）承担全县各项财政收支管理责任；负责编制年度县本级预算草案并组织实施；受县人民政府委托，向人大报告县本级和年度财政预算及其执行情况，向人大报告财政决算；组织制定经费开支标准、定额，负责审核批复各乡及本级各部门（单位）的年度预决算；完善转移支付制度；指导乡（镇）财政管理工作。</w:t>
      </w:r>
    </w:p>
    <w:p>
      <w:pPr>
        <w:spacing w:line="580" w:lineRule="exact"/>
        <w:ind w:firstLine="640"/>
        <w:jc w:val="both"/>
      </w:pPr>
      <w:r>
        <w:rPr>
          <w:rFonts w:ascii="仿宋_GB2312" w:hAnsi="仿宋_GB2312" w:eastAsia="仿宋_GB2312"/>
          <w:sz w:val="32"/>
        </w:rPr>
        <w:t>（四）负责政府非税收入管理，按规定管理行政事业性收费、政府性基金及其他非税收入；管理财政票据；按规定管理彩票资金。</w:t>
      </w:r>
    </w:p>
    <w:p>
      <w:pPr>
        <w:spacing w:line="580" w:lineRule="exact"/>
        <w:ind w:firstLine="640"/>
        <w:jc w:val="both"/>
      </w:pPr>
      <w:r>
        <w:rPr>
          <w:rFonts w:ascii="仿宋_GB2312" w:hAnsi="仿宋_GB2312" w:eastAsia="仿宋_GB2312"/>
          <w:sz w:val="32"/>
        </w:rPr>
        <w:t>（五）组织拟订财政国库管理和国库集中收付制度，指导和监督各级财政国库业务，按规定管理国库资金。</w:t>
      </w:r>
    </w:p>
    <w:p>
      <w:pPr>
        <w:spacing w:line="580" w:lineRule="exact"/>
        <w:ind w:firstLine="640"/>
        <w:jc w:val="both"/>
      </w:pPr>
      <w:r>
        <w:rPr>
          <w:rFonts w:ascii="仿宋_GB2312" w:hAnsi="仿宋_GB2312" w:eastAsia="仿宋_GB2312"/>
          <w:sz w:val="32"/>
        </w:rPr>
        <w:t>（六）依照《政府采购法》负责制定全县政府采购制度，监督管理采购活动。</w:t>
      </w:r>
    </w:p>
    <w:p>
      <w:pPr>
        <w:spacing w:line="580" w:lineRule="exact"/>
        <w:ind w:firstLine="640"/>
        <w:jc w:val="both"/>
      </w:pPr>
      <w:r>
        <w:rPr>
          <w:rFonts w:ascii="仿宋_GB2312" w:hAnsi="仿宋_GB2312" w:eastAsia="仿宋_GB2312"/>
          <w:sz w:val="32"/>
        </w:rPr>
        <w:t>（七）负责拟订行政事业单位国有资产管理规章制度，监督管理行政事业单位国有资产。</w:t>
      </w:r>
    </w:p>
    <w:p>
      <w:pPr>
        <w:spacing w:line="580" w:lineRule="exact"/>
        <w:ind w:firstLine="640"/>
        <w:jc w:val="both"/>
      </w:pPr>
      <w:r>
        <w:rPr>
          <w:rFonts w:ascii="仿宋_GB2312" w:hAnsi="仿宋_GB2312" w:eastAsia="仿宋_GB2312"/>
          <w:sz w:val="32"/>
        </w:rPr>
        <w:t>（八）负责编审和汇总编制国有资本经营预决算草案，拟订国有资本经营预算制度和办法，归集县本级企业国有资本收益，贯彻国家企业财务制度，按规定管理地方金融类企业国有资产和资产评估工作。</w:t>
      </w:r>
    </w:p>
    <w:p>
      <w:pPr>
        <w:spacing w:line="580" w:lineRule="exact"/>
        <w:ind w:firstLine="640"/>
        <w:jc w:val="both"/>
      </w:pPr>
      <w:r>
        <w:rPr>
          <w:rFonts w:ascii="仿宋_GB2312" w:hAnsi="仿宋_GB2312" w:eastAsia="仿宋_GB2312"/>
          <w:sz w:val="32"/>
        </w:rPr>
        <w:t>（九）负责办理和监督全县经济发展财政支出，自治区、地区、政府性投资项目的财政拨款，参与拟订全县建设投资有关政策和落实国家、自治区及地区基本建设财务制度，负责有关政策性补贴和专项储备资金财政管理工作；组织审查财政性投资工程预（结）算、竣工决算；承担国家赔偿费用管理工作；指导、监督农业综合开发工作。</w:t>
      </w:r>
    </w:p>
    <w:p>
      <w:pPr>
        <w:spacing w:line="580" w:lineRule="exact"/>
        <w:ind w:firstLine="640"/>
        <w:jc w:val="both"/>
      </w:pPr>
      <w:r>
        <w:rPr>
          <w:rFonts w:ascii="仿宋_GB2312" w:hAnsi="仿宋_GB2312" w:eastAsia="仿宋_GB2312"/>
          <w:sz w:val="32"/>
        </w:rPr>
        <w:t>（十）会同有关部门拟订社会保障资金(基金)财务管理制度，编制县本级社会保障预决算草案，会同有关部门管理县财政社会保障和就业、医疗卫生支出。</w:t>
      </w:r>
    </w:p>
    <w:p>
      <w:pPr>
        <w:spacing w:line="580" w:lineRule="exact"/>
        <w:ind w:firstLine="640"/>
        <w:jc w:val="both"/>
      </w:pPr>
      <w:r>
        <w:rPr>
          <w:rFonts w:ascii="仿宋_GB2312" w:hAnsi="仿宋_GB2312" w:eastAsia="仿宋_GB2312"/>
          <w:sz w:val="32"/>
        </w:rPr>
        <w:t>（十一）贯彻执行国家关于政府内债管理的制度和政策，拟订全县政府性债务管理制度和办法，防范财政风险；管理政府外债，拟订基本管理制度；按规定管理外国政府和国际金融组织贷(赠)款，参与涉外债务谈判。</w:t>
      </w:r>
    </w:p>
    <w:p>
      <w:pPr>
        <w:spacing w:line="580" w:lineRule="exact"/>
        <w:ind w:firstLine="640"/>
        <w:jc w:val="both"/>
      </w:pPr>
      <w:r>
        <w:rPr>
          <w:rFonts w:ascii="仿宋_GB2312" w:hAnsi="仿宋_GB2312" w:eastAsia="仿宋_GB2312"/>
          <w:sz w:val="32"/>
        </w:rPr>
        <w:t>（十二）贯彻执行中央、自治区、地区会计法律、法规和各项规章制度，监督和规范会计行为。</w:t>
      </w:r>
    </w:p>
    <w:p>
      <w:pPr>
        <w:spacing w:line="580" w:lineRule="exact"/>
        <w:ind w:firstLine="640"/>
        <w:jc w:val="both"/>
      </w:pPr>
      <w:r>
        <w:rPr>
          <w:rFonts w:ascii="仿宋_GB2312" w:hAnsi="仿宋_GB2312" w:eastAsia="仿宋_GB2312"/>
          <w:sz w:val="32"/>
        </w:rPr>
        <w:t>（十三）监督检查财税法规、政策的执行情况和财政资金使用管理情况，反映财政收支管理中的重大问题，提出加强财政管理的政策建议。</w:t>
      </w:r>
    </w:p>
    <w:p>
      <w:pPr>
        <w:spacing w:line="580" w:lineRule="exact"/>
        <w:ind w:firstLine="640"/>
        <w:jc w:val="both"/>
      </w:pPr>
      <w:r>
        <w:rPr>
          <w:rFonts w:ascii="仿宋_GB2312" w:hAnsi="仿宋_GB2312" w:eastAsia="仿宋_GB2312"/>
          <w:sz w:val="32"/>
        </w:rPr>
        <w:t>（十四）负责监督、指导乡镇财政的管理，完善乡镇财政管理体制。</w:t>
      </w:r>
    </w:p>
    <w:p>
      <w:pPr>
        <w:spacing w:line="580" w:lineRule="exact"/>
        <w:ind w:firstLine="640"/>
        <w:jc w:val="both"/>
      </w:pPr>
      <w:r>
        <w:rPr>
          <w:rFonts w:ascii="仿宋_GB2312" w:hAnsi="仿宋_GB2312" w:eastAsia="仿宋_GB2312"/>
          <w:sz w:val="32"/>
        </w:rPr>
        <w:t>（十五）依照《中华人民共和国会计法》依法加强区域内会计执业资格、业务技能培养与训练。</w:t>
      </w:r>
    </w:p>
    <w:p>
      <w:pPr>
        <w:spacing w:line="580" w:lineRule="exact"/>
        <w:ind w:firstLine="640"/>
        <w:jc w:val="both"/>
      </w:pPr>
      <w:r>
        <w:rPr>
          <w:rFonts w:ascii="仿宋_GB2312" w:hAnsi="仿宋_GB2312" w:eastAsia="仿宋_GB2312"/>
          <w:sz w:val="32"/>
        </w:rPr>
        <w:t>（十六）承办县委、县人民政府和上级主管部门交办的其他事项。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裕民县财政局2024年度，实有人数67人，其中：在职人员42人，减少2人；离休人员0人，增加0人；退休人员25人,增加4人。</w:t>
      </w:r>
    </w:p>
    <w:p>
      <w:pPr>
        <w:spacing w:line="580" w:lineRule="exact"/>
        <w:ind w:firstLine="640"/>
        <w:jc w:val="both"/>
      </w:pPr>
      <w:r>
        <w:rPr>
          <w:rFonts w:ascii="仿宋_GB2312" w:hAnsi="仿宋_GB2312" w:eastAsia="仿宋_GB2312"/>
          <w:sz w:val="32"/>
        </w:rPr>
        <w:t>裕民县财政局无下属预算单位，下设19个科室，分别是：办公室、预算股、国库股、行政政法股、教科文股、综合股、农财股、社保股、经建股、金财办、政府采购办、政府采购中心、国库集中支付中心、涉外股、会计股、财政监察股、法制税政股、资产管理股、企业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2024年度收入总计1,034.88万元，</w:t>
      </w:r>
      <w:r>
        <w:rPr>
          <w:rFonts w:ascii="仿宋_GB2312" w:hAnsi="仿宋_GB2312" w:eastAsia="仿宋_GB2312"/>
          <w:b w:val="0"/>
          <w:sz w:val="32"/>
        </w:rPr>
        <w:t>其中：本年收入合计1,034.88万元，使用非财政拨款结余（含专用结余）0.00万元，年初结转和结余0.00万元。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2024年度支出总计1,034.88万元，</w:t>
      </w:r>
      <w:r>
        <w:rPr>
          <w:rFonts w:ascii="仿宋_GB2312" w:hAnsi="仿宋_GB2312" w:eastAsia="仿宋_GB2312"/>
          <w:b w:val="0"/>
          <w:sz w:val="32"/>
        </w:rPr>
        <w:t>其中：本年支出合计1,034.88万元，结余分配0.00万元，年末结转和结余0.00万元。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收入支出总体与上年相比，增加51.87万元，增长5.28%，主要原因是：本年增加2.0系统年度运维服务费，预算绩效管理第三方委托等专项业务费；在职人员工资调增、社保、公积金基数调增，人员经费增加。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本年收入1,034.88万元，</w:t>
      </w:r>
      <w:r>
        <w:rPr>
          <w:rFonts w:ascii="仿宋_GB2312" w:hAnsi="仿宋_GB2312" w:eastAsia="仿宋_GB2312"/>
          <w:b w:val="0"/>
          <w:sz w:val="32"/>
        </w:rPr>
        <w:t>其中：财政拨款收入1,034.88万元，占100.00%；上级补助收入0.00万元，占0.00%；事业收入0.00万元，占0.00%；经营收入0.00万元，占0.00%；附属单位上缴收入0.00万元，占0.00%；其他收入0.00万元，占0.00%。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本年支出1,034.88万元，</w:t>
      </w:r>
      <w:r>
        <w:rPr>
          <w:rFonts w:ascii="仿宋_GB2312" w:hAnsi="仿宋_GB2312" w:eastAsia="仿宋_GB2312"/>
          <w:b w:val="0"/>
          <w:sz w:val="32"/>
        </w:rPr>
        <w:t>其中：基本支出837.58万元，占80.93%；项目支出197.30万元，占19.07%；上缴上级支出0.00万元，占0.00%；经营支出0.00万元，占0.00%；对附属单位补助支出0.00万元，占0.00%。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2024年度财政拨款收入总计1,034.88万元，</w:t>
      </w:r>
      <w:r>
        <w:rPr>
          <w:rFonts w:ascii="仿宋_GB2312" w:hAnsi="仿宋_GB2312" w:eastAsia="仿宋_GB2312"/>
          <w:b w:val="0"/>
          <w:sz w:val="32"/>
        </w:rPr>
        <w:t>其中：年初财政拨款结转和结余0.00万元，本年财政拨款收入1,034.88万元。</w:t>
      </w:r>
      <w:r>
        <w:rPr>
          <w:rFonts w:ascii="仿宋_GB2312" w:hAnsi="仿宋_GB2312" w:eastAsia="仿宋_GB2312"/>
          <w:b/>
          <w:sz w:val="32"/>
        </w:rPr>
        <w:t>财政拨款支出总计1,034.88万元，</w:t>
      </w:r>
      <w:r>
        <w:rPr>
          <w:rFonts w:ascii="仿宋_GB2312" w:hAnsi="仿宋_GB2312" w:eastAsia="仿宋_GB2312"/>
          <w:b w:val="0"/>
          <w:sz w:val="32"/>
        </w:rPr>
        <w:t>其中：年末财政拨款结转和结余0.00万元，本年财政拨款支出1,034.88万元。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增加51.87万元，增长5.28%，主要原因是：本年增加2.0系统年度运维服务费，预算绩效管理第三方委托等专项业务费；在职人员工资调增、社保、公积金基数调增，人员经费增加。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年初预算数1,147.19万元，决算数1,034.88万元，预决算差异率-9.79%，主要原因是：本年在职人员减少，年中调减人员经费及2022年财政系统自身建设资金，导致预决算存在差异。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2024年度一般公共预算财政拨款支出1,034.88万元，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增加51.87万元，增长5.28%，主要原因是：本年增加2.0系统年度运维服务费，预算绩效管理第三方委托等专项业务费；在职人员工资调增、社保、公积金基数调增，人员经费增加。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年初预算数1,147.19万元，决算数1,034.88万元，预决算差异率-9.79%，主要原因是：本年在职人员减少，年中调减人员经费及2022年财政系统自身建设资金，导致预决算存在差异。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1.一般公共服务支出(类)822.75万元,占79.50%。</w:t>
      </w:r>
    </w:p>
    <w:p>
      <w:pPr>
        <w:spacing w:line="580" w:lineRule="exact"/>
        <w:ind w:firstLine="640"/>
        <w:jc w:val="both"/>
      </w:pPr>
      <w:r>
        <w:rPr>
          <w:rFonts w:ascii="仿宋_GB2312" w:hAnsi="仿宋_GB2312" w:eastAsia="仿宋_GB2312"/>
          <w:b w:val="0"/>
          <w:sz w:val="32"/>
        </w:rPr>
        <w:t>2.社会保障和就业支出(类)103.96万元,占10.05%。</w:t>
      </w:r>
    </w:p>
    <w:p>
      <w:pPr>
        <w:spacing w:line="580" w:lineRule="exact"/>
        <w:ind w:firstLine="640"/>
        <w:jc w:val="both"/>
      </w:pPr>
      <w:r>
        <w:rPr>
          <w:rFonts w:ascii="仿宋_GB2312" w:hAnsi="仿宋_GB2312" w:eastAsia="仿宋_GB2312"/>
          <w:b w:val="0"/>
          <w:sz w:val="32"/>
        </w:rPr>
        <w:t>3.卫生健康支出(类)38.76万元,占3.75%。</w:t>
      </w:r>
    </w:p>
    <w:p>
      <w:pPr>
        <w:spacing w:line="580" w:lineRule="exact"/>
        <w:ind w:firstLine="640"/>
        <w:jc w:val="both"/>
      </w:pPr>
      <w:r>
        <w:rPr>
          <w:rFonts w:ascii="仿宋_GB2312" w:hAnsi="仿宋_GB2312" w:eastAsia="仿宋_GB2312"/>
          <w:b w:val="0"/>
          <w:sz w:val="32"/>
        </w:rPr>
        <w:t>4.农林水支出(类)14.14万元,占1.37%。</w:t>
      </w:r>
    </w:p>
    <w:p>
      <w:pPr>
        <w:spacing w:line="580" w:lineRule="exact"/>
        <w:ind w:firstLine="640"/>
        <w:jc w:val="both"/>
      </w:pPr>
      <w:r>
        <w:rPr>
          <w:rFonts w:ascii="仿宋_GB2312" w:hAnsi="仿宋_GB2312" w:eastAsia="仿宋_GB2312"/>
          <w:b w:val="0"/>
          <w:sz w:val="32"/>
        </w:rPr>
        <w:t>5.住房保障支出(类)55.26万元,占5.34%。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1.一般公共服务支出(类)财政事务(款)行政运行(项):支出决算数为639.59万元，比上年决算减少13.12万元，下降2.01%,主要原因是：本年在职人员减少，相应人员经费较上年减少。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2.一般公共服务支出(类)财政事务(款)其他财政事务支出(项):支出决算数为183.16万元，比上年决算增加48.06万元，增长35.57%,主要原因是：本年增加2.0系统年度运维服务费，预算绩效管理第三方委托等专项业务费。</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3.社会保障和就业支出(类)行政事业单位养老支出(款)行政单位离退休(项):支出决算数为18.00万元，比上年决算增加6.21万元，增长52.67%,主要原因是：本年退休人员增加，退休费支出增加。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71.09万元，比上年决算增加2.70万元，增长3.95%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14.88万元，比上年决算减少3.09万元，下降17.20%,主要原因是：本年退休人员较上年减少，职业年金缴费支出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6.卫生健康支出(类)行政事业单位医疗(款)行政单位医疗(项):支出决算数为29.11万元，比上年决算减少1.42万元，下降4.65%,主要原因是：本年在职人员减少，行政单位医疗支出较上年减少。</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7.卫生健康支出(类)行政事业单位医疗(款)公务员医疗补助(项):支出决算数为9.66万元，比上年决算减少0.28万元，下降2.82%,主要原因是：本年在职人员减少，公务员医疗补助支出较上年减少。</w:t>
      </w:r>
    </w:p>
    <w:p>
      <w:pPr>
        <w:spacing w:line="580" w:lineRule="exact"/>
        <w:ind w:firstLine="640"/>
        <w:jc w:val="both"/>
      </w:pPr>
      <w:r>
        <w:rPr>
          <w:rFonts w:ascii="仿宋_GB2312" w:hAnsi="仿宋_GB2312" w:eastAsia="仿宋_GB2312"/>
          <w:b w:val="0"/>
          <w:sz w:val="32"/>
        </w:rPr>
        <w:t>8.农林水支出(类)农业农村(款)其他农业农村支出(项):支出决算数为14.14万元，比上年决算增加13.14万元，增长1,314.00%,主要原因是：本年增加为民办实事经费。</w:t>
      </w:r>
    </w:p>
    <w:p>
      <w:pPr>
        <w:spacing w:line="580" w:lineRule="exact"/>
        <w:ind w:firstLine="640"/>
        <w:jc w:val="both"/>
      </w:pPr>
      <w:r>
        <w:rPr>
          <w:rFonts w:ascii="仿宋_GB2312" w:hAnsi="仿宋_GB2312" w:eastAsia="仿宋_GB2312"/>
          <w:b w:val="0"/>
          <w:sz w:val="32"/>
        </w:rPr>
        <w:t>9.住房保障支出(类)住房改革支出(款)住房公积金(项):支出决算数为55.26万元，比上年决算减少0.33万元，下降0.59%,主要原因是：本年在职人员减少，住房公积金缴费较上年减少。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2024年度一般公共预算财政拨款基本支出837.58万元，其中：</w:t>
      </w:r>
      <w:r>
        <w:rPr>
          <w:rFonts w:ascii="仿宋_GB2312" w:hAnsi="仿宋_GB2312" w:eastAsia="仿宋_GB2312"/>
          <w:b/>
          <w:sz w:val="32"/>
        </w:rPr>
        <w:t>人员经费778.50万元，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医疗费补助、奖励金。</w:t>
      </w:r>
    </w:p>
    <w:p>
      <w:pPr>
        <w:spacing w:line="580" w:lineRule="exact"/>
        <w:ind w:firstLine="640"/>
        <w:jc w:val="both"/>
      </w:pPr>
      <w:r>
        <w:rPr>
          <w:rFonts w:ascii="仿宋_GB2312" w:hAnsi="仿宋_GB2312" w:eastAsia="仿宋_GB2312"/>
          <w:b/>
          <w:sz w:val="32"/>
        </w:rPr>
        <w:t>公用经费59.08万元，</w:t>
      </w:r>
      <w:r>
        <w:rPr>
          <w:rFonts w:ascii="仿宋_GB2312" w:hAnsi="仿宋_GB2312" w:eastAsia="仿宋_GB2312"/>
          <w:b w:val="0"/>
          <w:sz w:val="32"/>
        </w:rPr>
        <w:t>包括：办公费、电费、邮电费、取暖费、差旅费、租赁费、工会经费、福利费、公务用车运行维护费。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2024年度财政拨款“三公”经费支出3.27万元，</w:t>
      </w:r>
      <w:r>
        <w:rPr>
          <w:rFonts w:ascii="仿宋_GB2312" w:hAnsi="仿宋_GB2312" w:eastAsia="仿宋_GB2312"/>
          <w:b w:val="0"/>
          <w:sz w:val="32"/>
        </w:rPr>
        <w:t>比上年增加1.86万元，增长131.91%，主要原因是：因新GD15166公车进行大修，车辆维修（护）费较上年增加。其中：因公出国（境）费支出0.00万元，占0.00%，比上年增加0.00万元，增长0.00%，主要原因是：2023年与2024年均未安排因公出国（境）费支出。公务用车购置及运行维护费支出3.27万元，占100.00%，比上年增加1.86万元，增长131.91%，主要原因是：因新GD15166公车进行大修，车辆维修（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3.27万元，其中：公务用车购置费0.00万元，公务用车运行维护费3.27万元。公务用车运行维护费开支内容包括车辆加油费、维修费、保险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3.27万元，决算数3.27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3.27万元，决算数3.27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2024年度裕民县财政局（行政单位和参照公务员法管理事业单位）机关运行经费支出59.08万元，比上年增加15.40万元，增长35.26%，主要原因是：本年业务量增加，公用经费增加。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2024年度政府采购支出总额140.88万元，其中：政府采购货物支出9.08万元、政府采购工程支出0.00万元、政府采购服务支出131.80万元。</w:t>
      </w:r>
    </w:p>
    <w:p>
      <w:pPr>
        <w:spacing w:line="580" w:lineRule="exact"/>
        <w:ind w:firstLine="640"/>
        <w:jc w:val="both"/>
      </w:pPr>
      <w:r>
        <w:rPr>
          <w:rFonts w:ascii="仿宋_GB2312" w:hAnsi="仿宋_GB2312" w:eastAsia="仿宋_GB2312"/>
          <w:b w:val="0"/>
          <w:sz w:val="32"/>
        </w:rPr>
        <w:t>授予中小企业合同金额113.63万元，占政府采购支出总额的80.66%，其中：授予小微企业合同金额106.46万元，占政府采购支出总额的75.57%。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1,504.00平方米，价值269.26万元。车辆3辆，价值52.00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1,167.16万元，实际执行总额1,034.88万元；预算绩效评价项目2个，全年预算数319.52万元，全年执行数197.30万元。预算绩效管理取得的成效：一是绩效指标明确，可以通过清晰、可衡量的指标值予以体现；二是整体项目在资金投入方面，预算编制经过科学论证、有明确标准，资金额度与年度目标相适应。发现的问题及原因：一是预算绩效管理工作时间紧、任务重、专业性强，我单位的预算绩效存在一些不足之处需要完善；二是实物资产管理，资产管理制度等需进一步加强，绩效目标申报、自评、公开等相关工作需进一步加强。下一步改进措施：一是严格执行各项财经制度和管理规定，对预算资金严格控制，规范使用，强化执行；二是坚持问题导向和绩效导向，关注预算执行的薄弱环节和经常性问题。具体项目自评情况附绩效自评表及自评报告。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裕民县财政局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承担全县各项财政收支管理责任；负责编制县本级预决算草案并组织执行；受县委、县政府委托向县人大常委会报告财政预算执行和决算等情况；组织实施财政资金绩效考核工作；组织制定经费开支标准、定额，负责财政预决算公开；完善全县财政转移支付制定。负责政府非税收入和政府性基金管理；监管财政票据核定管理彩票资金。组织制定县国库管理制度、国库集中收付相关制度和办法，按规定开展县国库现金管理工作，监督管理地方国库资金缴拨使用；负责制定县政府采购制度并监督管理；研究制定政府购买服务制度和政策并组织实施；管理全县财政统一发放工资工作。拟定和执行地方政府性债务管理制度和办法，负责组织县地方政府债券管理工作；按规定开展地方政府债券管理工作，防范财政风险；负责管理政府外债，组织实施外国政府、国际金融组织贷款项目和审核、申报、转贷、签订贷款协定以及资金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2024年裕民县财政局总支出1034.88万元，预算执行率90.21%，其中：一般公共服务支出822.75万元;社会保障和就业支出103.96万元；卫生健康支出38.76万元；农林水支出14.14万元；住房保障支出55.26万元。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1.基本支出使用情况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2024年，裕民县财政局基本支出837.58万元，占总支出的61.80％，其中：一般公共服务支出639.59万元;社会保障和就业支出103.96万元，卫生健康支出38.76万元；住房保障支出55.26万元。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2.项目支出使用情况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2024年，裕民县财政局项目支出197.30万元，占总支出的19.07％。其中：其他财政事务支出183.16万元， 其他农业农村支出14.14万元。</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预决算公开保障部门单位数量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还本付息保障县市数量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政府采购监督管理工作完成率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三保任务任务完成率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全过程绩效覆盖率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9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2023年为民办实事工作经费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为民办实事工作专项经费预算投入5.7956万元，工作经费主要用于慰问困难群众7户、表彰环境卫生优秀家庭10户、组织群众开展活动10次、扶贫慰问等，紧紧围绕为民办实事工作，以建强基础组织、做好群众工作为抓手，以拓宽农牧民致富门路、办好实事好事、推进乡村振兴、落实惠民政策、为切入点，认真履行职责，切实推进各项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2023年驻村工作队慰问困难群众5户，举办慰问活动10次，慰问困难群众花费1.6万元，组织群众开展活动花费1.08有效提升村委会办公效率，促进民族团结，村民满意度100%。 通过2023年裕民县财政局</w:t>
            </w:r>
            <w:bookmarkStart w:id="0" w:name="_GoBack"/>
            <w:bookmarkEnd w:id="0"/>
            <w:r>
              <w:rPr>
                <w:rFonts w:ascii="宋体" w:hAnsi="宋体" w:eastAsia="宋体"/>
                <w:sz w:val="16"/>
              </w:rPr>
              <w:t xml:space="preserve">驻村工作开展，工作经费主要用于慰问基层群众、解决具体困难、开展群众工作，购置工作队必备用品有日常运转等方面。规范预算管理，加大部门专项资金统筹，全面编制绩效目标预算，以绩效评价为核心，完善绩效评价指标体系，拓宽绩效评价范围，以结果运用为关键，将绩效评价结果与预算编制、管理相结合，有效实施了该项目，使广大农牧民群众了解党的各项惠民政策，掌握政策，从而引导宣传知党恩，感党恩，更加坚定了听党话，跟党走。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慰问困难群众工作有序开展中，已列入年度计划正在开展中。</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表彰环境卫生优秀家庭（户）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项目还在进行中，表彰环境卫生优秀家庭正在准备前期工作。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组织群众开展活动工作有序开展中，已列入年度计划正在开展中。</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困难群众慰问率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项目还在进行中，后续加强慰问困难群众工作。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组织群众开展活平均成本较低。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慰问困难群众平均成本较低。</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表彰环境卫生优秀家庭平均成本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项目还在进行中，表彰环境卫生优秀家庭正在准备前期工作。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丰富村民精神文化生活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解决村民实际困难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群众配合率高，对事情很满意。</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776"/>
        <w:gridCol w:w="624"/>
        <w:gridCol w:w="624"/>
        <w:gridCol w:w="627"/>
        <w:gridCol w:w="624"/>
        <w:gridCol w:w="627"/>
        <w:gridCol w:w="696"/>
        <w:gridCol w:w="696"/>
        <w:gridCol w:w="632"/>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财政系统自身建设资金项目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财政系统自身建设资金项目主要培训人员58人次，维护财政网络运维服务8家，委托第三方4家，电脑购置台数、打印机购置6台，办公用品购买3次。提高财政人员业务能力，促进各项财政事业发展，提升财政管理综合能力，充分调动财政管理和政革水平，切实提高财会人员业务能力，促进各项财政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财政系统自身建设资金项目主要培训人员58人次，维护财政网络运维服务8家，委托第三方4家，办公用品购买3次。提高财政人员业务能力，促进各项财政事业发展，提升财政管理综合能力，充分调动财政管理和政革水平，切实提高财会人员业务能力，促进各项财政事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维护财政网络运维服务数量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财会人员培训正在有序开展中，部分培训已列入计划，目前准备前期工作中。</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委托业务费支付较预期值低，存在分期付款、跨年度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维护财政网络平均成本较预期成本低，部分支出还在进行</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部分支出还未开具发票，正在有序进行中</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有效提升财政工作质量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本部门无其他需说明事项。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MzZhMWRhYzg5ZTJhNDA1ZTgxYzZmMDA0OWRhZjk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2275A1"/>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9831</Words>
  <Characters>11161</Characters>
  <Lines>0</Lines>
  <Paragraphs>0</Paragraphs>
  <TotalTime>1</TotalTime>
  <ScaleCrop>false</ScaleCrop>
  <LinksUpToDate>false</LinksUpToDate>
  <CharactersWithSpaces>11180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2025-09-28T10:38:15Z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