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Fonts w:eastAsia="仿宋_GB2312" w:hAnsi="宋体" w:cs="宋体" w:hint="eastAsia"/>
          <w:b w:val="0"/>
          <w:bCs w:val="0"/>
          <w:kern w:val="0"/>
          <w:sz w:val="36"/>
          <w:szCs w:val="36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年农村学前三年免费教育保障机制补助经费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实施单位（公章）：裕民县第二幼儿园</w:t>
      </w:r>
    </w:p>
    <w:p>
      <w:pPr>
        <w:spacing w:line="540" w:lineRule="exact"/>
        <w:ind w:firstLine="900" w:firstLineChars="250"/>
        <w:rPr>
          <w:rFonts w:ascii="楷体" w:eastAsia="仿宋_GB2312" w:hAnsi="楷体" w:hint="default"/>
          <w:b/>
          <w:bCs/>
          <w:spacing w:val="-4"/>
          <w:sz w:val="28"/>
          <w:szCs w:val="28"/>
          <w:lang w:val="en-US" w:eastAsia="zh-CN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主管部门（公章）：裕民县</w:t>
      </w:r>
      <w:r>
        <w:rPr>
          <w:rFonts w:eastAsia="仿宋_GB2312" w:hAnsi="宋体" w:cs="宋体" w:hint="eastAsia"/>
          <w:kern w:val="0"/>
          <w:sz w:val="36"/>
          <w:szCs w:val="36"/>
          <w:lang w:val="en-US" w:eastAsia="zh-CN"/>
        </w:rPr>
        <w:t xml:space="preserve">教育和体育局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项目负责人（签章）：牛海霞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</w:t>
      </w:r>
      <w:r>
        <w:rPr>
          <w:rFonts w:eastAsia="仿宋_GB2312" w:hAnsi="宋体" w:cs="宋体" w:hint="eastAsia"/>
          <w:kern w:val="0"/>
          <w:sz w:val="36"/>
          <w:szCs w:val="36"/>
          <w:lang w:val="en-US" w:eastAsia="zh-CN"/>
        </w:rPr>
        <w:t xml:space="preserve">：2025年04月23日</w:t>
      </w:r>
    </w:p>
    <w:p>
      <w:pPr>
        <w:spacing w:line="560" w:lineRule="exact"/>
        <w:rPr>
          <w:rFonts w:ascii="Times New Roman" w:eastAsia="黑体" w:hAnsi="Times New Roman" w:cs="Times New Roman" w:hint="default"/>
          <w:bCs/>
          <w:color w:val="auto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bCs/>
          <w:color w:val="auto"/>
          <w:sz w:val="32"/>
          <w:szCs w:val="32"/>
          <w:highlight w:val="none"/>
        </w:rPr>
        <w:t xml:space="preserve">一、基本情况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（一）项目概况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项目背景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裕民县第二双语幼儿园占地13亩，2012年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县委、县政府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自筹资金1200万元建设，于2013年9月1日正式投入使用。园舍建筑面积4566平方米，可容纳400余名幼儿入园。园内开设小、中、大12个班级，现有幼儿435人，其中少数民族幼儿209人、汉族幼儿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226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人；教职工共计67人，其中汉族39人，少数民族28人。根据《关于转发财政厅 教育厅《关于印发（自治区农村学前三年免费双语教育保障机制定理办法）的通知》的通知》（塔地财教〔2017〕18号）和有关法律制度规定，2017年起施行学前幼儿免费教育。针对学前双语3.5-6.5岁幼儿。</w:t>
      </w:r>
    </w:p>
    <w:p>
      <w:pPr>
        <w:pStyle w:val="Title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color w:val="auto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kern w:val="2"/>
          <w:highlight w:val="none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color w:val="auto"/>
          <w:kern w:val="2"/>
          <w:highlight w:val="none"/>
        </w:rPr>
        <w:t xml:space="preserve">项目主要内容：</w:t>
      </w:r>
    </w:p>
    <w:p>
      <w:pPr>
        <w:ind w:firstLine="600" w:firstLineChars="20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0"/>
          <w:szCs w:val="30"/>
          <w:highlight w:val="none"/>
          <w:lang w:val="en-US" w:eastAsia="zh-CN"/>
        </w:rPr>
        <w:t xml:space="preserve">项目主要内容：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我园20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24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年有幼儿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435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名，按照农村学前三年免费双语教育公用经费保障经费补助标准1100元/生/年，下拨学前保障机制公用经费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47.85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万元，按照补助标准1450元/生/年下拨学前双语伙食补助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63.08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万元。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资金主要用于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20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24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年度第二幼儿园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435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名幼儿的原材料伙食支出、园内的日常公用支出 （含维修、水费、电费、邮电费、办公费等支出）、教师培训费支出。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项目实施情况：及时完成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了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幼儿伙食原材料的定点采购，合理使用资金，控制伙食原材料成本，确保幼儿在园的每日生活动饮食营养到位，需求量到位，确保幼儿园日常工作的正常开展。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二是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了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幼儿入园人数统计工作，进行上报，及时完成幼儿伙食的支出。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三是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完成我园内的日常公用支出 （含维修、水费、电费、邮电费、办公费等支出）、教师培训费支出。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资金投入和使用情况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（1）资金投入情况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万元，该项目资金已全部落实到位，资金来源为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财政拨款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（2）资金使用情况</w:t>
      </w:r>
    </w:p>
    <w:p>
      <w:pPr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万元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，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，全年执行数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99.58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85.73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%，主要用于：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第二幼儿园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435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</w:rPr>
        <w:t xml:space="preserve">名幼儿的原材料伙食支出、园内的日常公用支出 （含维修、水费、电费、邮电费、办公费等支出）、教师培训费支出。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（二）项目绩效目标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总体目标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及时完成幼儿伙食原材料的定点采购，合理使用资金，控制伙食原材料成本，确保幼儿在园的每日生活动饮食营养到位，需求量到位，确保幼儿园日常工作的正常开展。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完成幼儿入园人数统计工作，进行上报，及时完成幼儿伙食的支出。</w:t>
      </w:r>
    </w:p>
    <w:p>
      <w:pPr>
        <w:spacing w:line="560" w:lineRule="exact"/>
        <w:ind w:firstLine="640" w:firstLineChars="200"/>
        <w:rPr>
          <w:rStyle w:val="Strong"/>
          <w:rFonts w:ascii="Times New Roman" w:eastAsia="黑体" w:hAnsi="Times New Roman" w:cs="Times New Roman" w:hint="default"/>
          <w:b w:val="0"/>
          <w:bCs/>
          <w:color w:val="auto"/>
          <w:spacing w:val="-4"/>
          <w:sz w:val="32"/>
          <w:szCs w:val="32"/>
          <w:highlight w:val="none"/>
        </w:rPr>
      </w:pP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3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完成我园内的日常公用支出 （含维修、水费、电费、邮电费、办公费等支出）、教师培训费支出。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2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阶段性目标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裕民县第二幼儿园上半年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了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幼儿伙食原材料的定点采购，合理使用资金，控制伙食原材料成本，确保幼儿在园的每日生活动饮食营养到位，需求量到位，确保幼儿园日常工作的正常开展。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二是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了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幼儿入园人数统计工作，进行上报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，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按进度对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幼儿伙食的支出。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三是补发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完成我园内的日常公用支出 （含维修、水费、电费、邮电费、办公费等支出）、教师培训费支出。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  <w:t xml:space="preserve">二、绩效评价工作开展情况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（一）绩效评价目的、对象和范围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val="en-US" w:eastAsia="zh-CN"/>
        </w:rPr>
        <w:t xml:space="preserve">1.绩效评价完整性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在评价指标体系的构建上，充分考虑了项目的性质、目标以及预期成果，选取了具有代表性和可衡量性的关键指标，涵盖了社会效益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的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维度，力求全方位反映项目的绩效状况。同时，对于每个指标的评价标准和数据来源均进行了明确说明，确保评价结果的客观性和可追溯性。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通过对项目预算执行情况及各项绩效目标达成程度的系统性分析，全面、客观地评估项目在预定周期内的实施效果，包括社会效益指标，为项目后续的改进与优化提供科学依据。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（2）提升资源利用效率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（3）强化项目管理责任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（4）为决策提供支持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（5）促进项目持续改进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方正仿宋_GBK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绩效评价的对象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本项目预算绩效评价报告的评价对象是2024年农村学前三年免费教育保障机制补助经费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及其预算执行情况。该项目由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裕民县第二幼儿园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负责实施，旨在确保幼儿在园的每日生活动饮食营养到位，需求量到位，确保幼儿园日常工作的正常开展。项目预算涵盖从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2024年1月1日-2024年12月25日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的全部资金投入与支出，涉及资金总额为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元。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val="en-US" w:eastAsia="zh-CN"/>
        </w:rPr>
        <w:t xml:space="preserve">4.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绩效评价的范围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pStyle w:val="Title"/>
        <w:widowControl w:val="0"/>
        <w:numPr>
          <w:ilvl w:val="0"/>
          <w:numId w:val="4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项目预算编制与执行：全面审视项目预算的编制依据、合理性、科学性以及实际执行情况，包括预算调整的原因和效果。</w:t>
      </w:r>
    </w:p>
    <w:p>
      <w:pPr>
        <w:pStyle w:val="Title"/>
        <w:widowControl w:val="0"/>
        <w:numPr>
          <w:ilvl w:val="0"/>
          <w:numId w:val="4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资金管理：深入分析项目资金的分配、使用和监管情况，确保资金使用的合规性、高效性和透明度。</w:t>
      </w:r>
    </w:p>
    <w:p>
      <w:pPr>
        <w:pStyle w:val="Title"/>
        <w:widowControl w:val="0"/>
        <w:numPr>
          <w:ilvl w:val="0"/>
          <w:numId w:val="4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项目实施进度与产出：评估项目是否按照既定计划顺利推进，各项任务是否按时完成，以及项目产出的数量、质量和时效性是否符合预期。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color w:val="auto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（二）绩效评价原则、评价指标体系（详情见表1）、评价方法、评价标准。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绩效评价原则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本次项目绩效评价遵循以下基本原则：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（1）科学公正。绩效评价应当运用科学合理的方法，按照规范的程序，对项目绩效进行客观、公正的反映。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（4）公开透明。绩效评价结果应依法依规公开，并自觉接受社会监督。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2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评价指标体系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（1）确定评价指标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（2）确定权重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color w:val="auto"/>
          <w:spacing w:val="17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确定各个指标相对于项目总体绩效的权重分值。在绩效评价指标体系中，项目决策权重为20分，项目过程权重为20分，项目产出权重为40分，项目效益权重为20分</w:t>
      </w:r>
      <w:r>
        <w:rPr>
          <w:rFonts w:eastAsia="仿宋_GB2312" w:cs="Times New Roman" w:hint="eastAsia"/>
          <w:color w:val="auto"/>
          <w:spacing w:val="17"/>
          <w:sz w:val="32"/>
          <w:szCs w:val="32"/>
          <w:highlight w:val="none"/>
          <w:lang w:eastAsia="zh-CN"/>
        </w:rPr>
        <w:t xml:space="preserve">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（3）确定指标标准值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b w:val="0"/>
          <w:bCs w:val="0"/>
          <w:color w:val="auto"/>
          <w:spacing w:val="17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spacing w:val="17"/>
          <w:kern w:val="2"/>
          <w:highlight w:val="none"/>
        </w:rPr>
        <w:t xml:space="preserve">绩效评价总分值100分，根据综合评分结果，90（含）-100分为优、80（含）-90分为良、60（含）-80分为中、60分以下为差。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spacing w:val="17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spacing w:val="17"/>
          <w:highlight w:val="none"/>
        </w:rPr>
        <w:t xml:space="preserve">具体评价指标体系详情见附件1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3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绩效评价方法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color w:val="auto"/>
          <w:spacing w:val="17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本次评价指标中，既有定性指标又有定量指标，各类指标因考核内容不同和客观标准不同存在较大差异，因此核定具体指标时采用了不同方法，具体评价方法如下</w:t>
      </w:r>
      <w:r>
        <w:rPr>
          <w:rFonts w:eastAsia="仿宋_GB2312" w:cs="Times New Roman" w:hint="eastAsia"/>
          <w:color w:val="auto"/>
          <w:spacing w:val="17"/>
          <w:sz w:val="32"/>
          <w:szCs w:val="32"/>
          <w:highlight w:val="none"/>
          <w:lang w:eastAsia="zh-CN"/>
        </w:rPr>
        <w:t xml:space="preserve">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（一）成本效益分析法。是指将投入与产出、效益进行关联性分析的方法。 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（</w:t>
      </w:r>
      <w:r>
        <w:rPr>
          <w:rFonts w:eastAsia="仿宋_GB2312" w:cs="Times New Roman" w:hint="eastAsia"/>
          <w:color w:val="auto"/>
          <w:spacing w:val="17"/>
          <w:sz w:val="32"/>
          <w:szCs w:val="32"/>
          <w:highlight w:val="none"/>
          <w:lang w:eastAsia="zh-CN"/>
        </w:rPr>
        <w:t xml:space="preserve">二</w:t>
      </w: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）因素分析法。是指综合分析影响绩效目标实现、实施效果的内外部因素的方法。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4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评价标准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绩效评价标准通常包括计划标准、行业标准、历史标准等，用于对绩效指标完成情况进行比较、分析、评价。本次评价主要采用了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计划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计划标准。指以预先制定的目标、计划、预算、定额等作为评价标准。</w:t>
      </w:r>
    </w:p>
    <w:p>
      <w:pPr>
        <w:pStyle w:val="Title"/>
        <w:numPr>
          <w:ilvl w:val="0"/>
          <w:numId w:val="7"/>
        </w:numPr>
        <w:spacing w:before="0" w:after="0" w:line="560" w:lineRule="exact"/>
        <w:ind w:firstLine="640" w:firstLineChars="200"/>
        <w:jc w:val="both"/>
        <w:rPr>
          <w:rFonts w:ascii="Times New Roman" w:eastAsia="楷体" w:hAnsi="Times New Roman" w:cs="Times New Roman" w:hint="default"/>
          <w:color w:val="auto"/>
          <w:spacing w:val="17"/>
          <w:highlight w:val="none"/>
        </w:rPr>
      </w:pPr>
      <w:r>
        <w:rPr>
          <w:rFonts w:ascii="Times New Roman" w:eastAsia="楷体" w:hAnsi="Times New Roman" w:cs="Times New Roman" w:hint="default"/>
          <w:color w:val="auto"/>
          <w:spacing w:val="17"/>
          <w:highlight w:val="none"/>
        </w:rPr>
        <w:t xml:space="preserve">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在项目绩效评价工作启动之初，成立了专门的评价工作小组，小组成员由财务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人员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、项目管理人员组成，确保从多角度、全方位对项目绩效进行评价。同时，明确了评价工作的目标、范围、重点及时间安排，制定了详细的工作计划，为评价工作的顺利开展奠定了坚实基础。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依据项目的性质、目标以及预期成果，构建了科学合理的绩效评价指标体系。该指标体系涵盖了</w:t>
      </w:r>
      <w:r>
        <w:rPr>
          <w:rFonts w:ascii="Times New Roman" w:eastAsia="仿宋_GB2312" w:hAnsi="Times New Roman" w:cs="Times New Roman" w:hint="default"/>
          <w:color w:val="auto"/>
          <w:spacing w:val="17"/>
          <w:sz w:val="32"/>
          <w:szCs w:val="32"/>
          <w:highlight w:val="none"/>
        </w:rPr>
        <w:t xml:space="preserve">项目决策、项目过程、项目产出、项目效益四个维度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广泛收集与项目相关的各类数据，包括财务报表、项目文档、业务数据、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满意度调查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numPr>
          <w:ilvl w:val="0"/>
          <w:numId w:val="6"/>
        </w:numPr>
        <w:spacing w:line="560" w:lineRule="exact"/>
        <w:ind w:firstLine="640" w:firstLineChars="200"/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  <w:t xml:space="preserve">综合评价情况及评价结论（附相关评分表）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color w:val="auto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color w:val="auto"/>
          <w:highlight w:val="none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color w:val="auto"/>
          <w:highlight w:val="none"/>
          <w:lang w:val="en-US" w:eastAsia="zh-CN"/>
        </w:rPr>
        <w:t xml:space="preserve">一</w:t>
      </w:r>
      <w:r>
        <w:rPr>
          <w:rFonts w:ascii="Times New Roman" w:eastAsia="楷体_GB2312" w:hAnsi="Times New Roman" w:cs="Times New Roman" w:hint="default"/>
          <w:color w:val="auto"/>
          <w:highlight w:val="none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color w:val="auto"/>
          <w:highlight w:val="none"/>
          <w:lang w:val="en-US" w:eastAsia="zh-CN"/>
        </w:rPr>
        <w:t xml:space="preserve">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本项目的综合评价基于对项目各方面绩效的深入分析与评估。从项目目标的达成情况来看，2024年农村学前三年免费教育保障机制补助经费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及其预算执行情况在及时完成幼儿伙食原材料的定点采购，合理使用资金，控制伙食原材料成本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完成幼儿入园人数统计工作，进行上报等方面表现出色，达到了预期的标准与要求。同时，项目也在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社会效益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取得了显著的成效，如确保幼儿在园的每日生活动饮食营养到位，需求量到位，确保幼儿园日常工作的正常开展等。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在项目管理方面，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裕民县第二幼儿园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通过有效的规划、组织与协调，项目得以顺利实施，并在预算与时间上保持了良好的控制。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从项目效益的角度来看，本项目不仅实现了预期的社会效益、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经济效益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等方面产生了积极的影响。具体而言，确保幼儿在园的每日生活动饮食营养到位，需求量到位，确保幼儿园日常工作的正常开展等方面的提升，为项目的利益相关者带来了实实在在的利益。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cs="Times New Roman" w:hint="default"/>
          <w:color w:val="auto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综上所述，2024年农村学前三年免费教育保障机制补助经费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项目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在绩效评价中表现出色，达到了项目的预期目标，并在多个方面取得了显著的成效。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color w:val="auto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color w:val="auto"/>
          <w:highlight w:val="none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color w:val="auto"/>
          <w:highlight w:val="none"/>
          <w:lang w:val="en-US" w:eastAsia="zh-CN"/>
        </w:rPr>
        <w:t xml:space="preserve">二</w:t>
      </w:r>
      <w:r>
        <w:rPr>
          <w:rFonts w:ascii="Times New Roman" w:eastAsia="楷体_GB2312" w:hAnsi="Times New Roman" w:cs="Times New Roman" w:hint="default"/>
          <w:color w:val="auto"/>
          <w:highlight w:val="none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color w:val="auto"/>
          <w:highlight w:val="none"/>
          <w:lang w:val="en-US" w:eastAsia="zh-CN"/>
        </w:rPr>
        <w:t xml:space="preserve">评价结论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97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分，属于“优”。其中，项目决策类指标权重为20分，得分为 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%。项目过程类指标权重为20分，得分为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19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95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%。项目产出类指标权重为40分，得分为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38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95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%。项目效益类指标权重为20分，得分为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</w:rPr>
        <w:t xml:space="preserve">%。具体打分情况详见：附件1综合评分表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highlight w:val="none"/>
          <w:lang w:eastAsia="zh-CN"/>
        </w:rPr>
        <w:t xml:space="preserve">。</w:t>
      </w:r>
    </w:p>
    <w:p>
      <w:pPr>
        <w:ind w:firstLine="640" w:firstLineChars="200"/>
        <w:rPr>
          <w:rFonts w:ascii="Times New Roman" w:eastAsia="仿宋_GB2312" w:hAnsi="Times New Roman" w:cs="Times New Roman" w:hint="default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eastAsia="仿宋_GB2312" w:cs="Times New Roman" w:hint="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表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sz w:val="32"/>
          <w:szCs w:val="32"/>
          <w:highlight w:val="none"/>
        </w:rPr>
        <w:t xml:space="preserve">1综合评分表</w:t>
      </w:r>
    </w:p>
    <w:p>
      <w:pPr>
        <w:pStyle w:val="Char"/>
        <w:rPr>
          <w:rFonts w:hint="eastAsia"/>
          <w:sz w:val="32"/>
          <w:szCs w:val="32"/>
          <w:lang w:val="en-US" w:eastAsia="zh-CN"/>
        </w:rPr>
      </w:pPr>
    </w:p>
    <w:p>
      <w:pPr>
        <w:pStyle w:val="Char"/>
        <w:spacing w:after="0" w:line="240" w:lineRule="auto"/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一级指标  权重分  得分  得分率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Fonts w:ascii="Verdana" w:eastAsia="仿宋_GB2312" w:hAnsi="Verdana" w:cs="Verdana" w:hint="eastAsia"/>
          <w:kern w:val="0"/>
          <w:sz w:val="32"/>
          <w:szCs w:val="32"/>
          <w:lang w:val="en-US" w:eastAsia="zh-CN" w:bidi="ar-SA"/>
        </w:rPr>
        <w:t xml:space="preserve">项目决策   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20</w:t>
      </w:r>
      <w:r>
        <w:rPr>
          <w:rFonts w:eastAsia="仿宋_GB2312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     20    100%</w:t>
      </w:r>
    </w:p>
    <w:p>
      <w:pPr>
        <w:pStyle w:val="Char"/>
        <w:spacing w:after="0" w:line="240" w:lineRule="auto"/>
        <w:ind w:firstLine="640" w:firstLineChars="200"/>
        <w:rPr>
          <w:rFonts w:ascii="Times New Roman" w:eastAsia="仿宋_GB2312" w:hAnsi="Times New Roman" w:cs="Times New Roman" w:hint="default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项目过程   20</w:t>
      </w:r>
      <w:r>
        <w:rPr>
          <w:rFonts w:ascii="Times New Roman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     19    95%</w:t>
      </w:r>
    </w:p>
    <w:p>
      <w:pPr>
        <w:pStyle w:val="Char"/>
        <w:spacing w:after="0" w:line="240" w:lineRule="auto"/>
        <w:ind w:firstLine="640" w:firstLineChars="200"/>
        <w:rPr>
          <w:rFonts w:ascii="Times New Roman" w:eastAsia="仿宋_GB2312" w:hAnsi="Times New Roman" w:cs="Times New Roman" w:hint="default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项目产出   40</w:t>
      </w:r>
      <w:r>
        <w:rPr>
          <w:rFonts w:ascii="Times New Roman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     38    95%</w:t>
      </w:r>
    </w:p>
    <w:p>
      <w:pPr>
        <w:pStyle w:val="Char"/>
        <w:spacing w:after="0" w:line="240" w:lineRule="auto"/>
        <w:ind w:firstLine="640" w:firstLineChars="200"/>
        <w:rPr>
          <w:rFonts w:ascii="Times New Roman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项目效益   20</w:t>
      </w:r>
      <w:r>
        <w:rPr>
          <w:rFonts w:ascii="Times New Roman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      20    100%</w:t>
      </w:r>
    </w:p>
    <w:p>
      <w:pPr>
        <w:pStyle w:val="Char"/>
        <w:spacing w:after="0" w:line="240" w:lineRule="auto"/>
        <w:ind w:firstLine="640" w:firstLineChars="200"/>
        <w:rPr>
          <w:rFonts w:ascii="Times New Roman" w:hAnsi="Times New Roman" w:cs="Times New Roman" w:hint="default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kern w:val="28"/>
          <w:sz w:val="32"/>
          <w:szCs w:val="32"/>
          <w:highlight w:val="none"/>
          <w:lang w:val="en-US" w:eastAsia="zh-CN" w:bidi="ar-SA"/>
        </w:rPr>
        <w:t xml:space="preserve">合计       100     97    97.25%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  <w:t xml:space="preserve">四、绩效评价指标分析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楷体_GB2312" w:hAnsi="Times New Roman" w:cs="Times New Roman" w:hint="default"/>
          <w:color w:val="auto"/>
          <w:highlight w:val="none"/>
        </w:rPr>
      </w:pPr>
      <w:r>
        <w:rPr>
          <w:rFonts w:ascii="Times New Roman" w:eastAsia="楷体_GB2312" w:hAnsi="Times New Roman" w:cs="Times New Roman" w:hint="default"/>
          <w:color w:val="auto"/>
          <w:highlight w:val="none"/>
        </w:rPr>
        <w:t xml:space="preserve">（一）项目决策情况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项目决策类指标包括项目立项、绩效目标和资金投入三方面的内容，由6个三级指标构成，权重分值为20分，实际得分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1.项目立项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（1）立项依据充分性</w:t>
      </w:r>
    </w:p>
    <w:p>
      <w:pPr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该项目立项符合国家相关法律法规</w:t>
      </w:r>
      <w:r>
        <w:rPr>
          <w:rFonts w:ascii="仿宋" w:eastAsia="仿宋" w:hAnsi="仿宋" w:cs="仿宋" w:hint="eastAsia"/>
          <w:color w:val="auto"/>
          <w:sz w:val="32"/>
          <w:szCs w:val="32"/>
          <w:highlight w:val="none"/>
        </w:rPr>
        <w:t xml:space="preserve">《项目管理制度》</w:t>
      </w:r>
      <w:r>
        <w:rPr>
          <w:rFonts w:ascii="仿宋" w:eastAsia="仿宋" w:hAnsi="仿宋" w:cs="仿宋" w:hint="eastAsia"/>
          <w:color w:val="auto"/>
          <w:sz w:val="32"/>
          <w:szCs w:val="32"/>
          <w:highlight w:val="none"/>
          <w:lang w:eastAsia="zh-CN"/>
        </w:rPr>
        <w:t xml:space="preserve">、</w:t>
      </w:r>
      <w:r>
        <w:rPr>
          <w:rFonts w:ascii="仿宋" w:eastAsia="仿宋" w:hAnsi="仿宋" w:cs="仿宋" w:hint="eastAsia"/>
          <w:color w:val="auto"/>
          <w:sz w:val="32"/>
          <w:szCs w:val="32"/>
          <w:highlight w:val="none"/>
        </w:rPr>
        <w:t xml:space="preserve">《政府采购制度》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（2）立项程序规范性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项目申请、设立过程符合相关要求，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严格按照审批流程准备符合要求的文件、材料；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根据决算依据编制工作计划和经费预算，经过与部门项目分管领导沟通、筛选确定经费预算计划，确定最终预算方案。项目的审批文件、材料符合相关要求，项目事前经过必要的风险评估、绩效评估、集体决策，保障了程序的规范性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2.绩效目标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（1）绩效目标合理性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/>
        </w:rPr>
        <w:t xml:space="preserve">年初结合实际工作内容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设定绩效目标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/>
        </w:rPr>
        <w:t xml:space="preserve">，绩效目标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（2）绩效指标明确性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3.资金投入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在预算编制过程中，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还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pStyle w:val="Title"/>
        <w:numPr>
          <w:ilvl w:val="0"/>
          <w:numId w:val="8"/>
        </w:numPr>
        <w:spacing w:before="0" w:after="0" w:line="560" w:lineRule="exact"/>
        <w:ind w:firstLine="640" w:firstLineChars="200"/>
        <w:jc w:val="both"/>
        <w:rPr>
          <w:rFonts w:ascii="Times New Roman" w:eastAsia="楷体" w:hAnsi="Times New Roman" w:cs="Times New Roman" w:hint="default"/>
          <w:color w:val="auto"/>
          <w:highlight w:val="none"/>
        </w:rPr>
      </w:pPr>
      <w:r>
        <w:rPr>
          <w:rFonts w:ascii="Times New Roman" w:eastAsia="楷体" w:hAnsi="Times New Roman" w:cs="Times New Roman" w:hint="default"/>
          <w:color w:val="auto"/>
          <w:highlight w:val="none"/>
        </w:rPr>
        <w:t xml:space="preserve">项目过程情况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项目过程类指标包括资金管理和组织实施两方面的内容，由5个三级指标构成，权重分值为20分，实际得分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19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95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1.资金管理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（1）资金到位率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本项目总投资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万元，财政资金及时足额到位，到位率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%，预算资金按计划进度执行。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（2）预算执行率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预算编制较为详细，项目资金支出总体能够按照预算执行，预算资金支出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99.58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85.73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%。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本项目的资金使用严格遵循了</w:t>
      </w:r>
      <w:r>
        <w:rPr>
          <w:rFonts w:ascii="仿宋" w:eastAsia="仿宋" w:hAnsi="仿宋" w:cs="仿宋" w:hint="eastAsia"/>
          <w:color w:val="auto"/>
          <w:sz w:val="32"/>
          <w:szCs w:val="32"/>
          <w:highlight w:val="none"/>
        </w:rPr>
        <w:t xml:space="preserve">《项目管理制度》</w:t>
      </w:r>
      <w:r>
        <w:rPr>
          <w:rFonts w:ascii="仿宋" w:eastAsia="仿宋" w:hAnsi="仿宋" w:cs="仿宋" w:hint="eastAsia"/>
          <w:color w:val="auto"/>
          <w:sz w:val="32"/>
          <w:szCs w:val="32"/>
          <w:highlight w:val="none"/>
          <w:lang w:eastAsia="zh-CN"/>
        </w:rPr>
        <w:t xml:space="preserve">、</w:t>
      </w:r>
      <w:r>
        <w:rPr>
          <w:rFonts w:ascii="仿宋" w:eastAsia="仿宋" w:hAnsi="仿宋" w:cs="仿宋" w:hint="eastAsia"/>
          <w:color w:val="auto"/>
          <w:sz w:val="32"/>
          <w:szCs w:val="32"/>
          <w:highlight w:val="none"/>
        </w:rPr>
        <w:t xml:space="preserve">《政府采购制度》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，确保了资金的合规性与安全性。在资金使用过程中，我们建立了完善的财务管理体系，对资金的流动进行了全程监控与记录。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2.组织实施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在制度设计上，我们注重了制度的科学性与可操作性，确保制度能够切实指导项目的执行与管理。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本项目在执行过程中，管理制度得到了全面、有效的落实，为确保项目的顺利实施与目标实现提供了坚实的保障。项目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单位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重视制度执行的重要性，通过明确责任分工、制定详细执行计划、加强监督考核等措施，确保了各项管理制度能够得到有效执行。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eastAsia="zh-CN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pStyle w:val="BodyTextFirstIndent"/>
        <w:numPr>
          <w:ilvl w:val="0"/>
          <w:numId w:val="8"/>
        </w:numPr>
        <w:spacing w:line="560" w:lineRule="exact"/>
        <w:ind w:firstLine="643"/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项目产出</w:t>
      </w: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项目产出类指标包括产出数量、产出质量、产出时效、产出成本四方面的内容，由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7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个三级指标构成，权重分为40分，实际得分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38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95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%。具体产出指标完成情况如下：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instrText xml:space="preserve"> = 1 \* GB3 </w:instrTex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①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数量指标：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学前幼儿园受补助人数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ascii="宋体" w:eastAsia="宋体" w:hAnsi="宋体" w:cs="宋体" w:hint="eastAsia"/>
          <w:color w:val="auto"/>
          <w:sz w:val="32"/>
          <w:szCs w:val="32"/>
          <w:highlight w:val="none"/>
          <w:lang w:eastAsia="zh-CN"/>
        </w:rPr>
        <w:t xml:space="preserve">≧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435人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435人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instrText xml:space="preserve"> = 2 \* GB3 </w:instrTex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②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质量指标：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幼儿园受助学生覆盖率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=100%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资金使用合格率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=100%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instrText xml:space="preserve"> = 3 \* GB3 </w:instrTex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③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时效指标：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资金支付及时率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=100%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instrText xml:space="preserve"> = 4 \* GB3 </w:instrTex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④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成本指标：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学前保障办公经费幼儿公用经费补助标准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ascii="宋体" w:eastAsia="宋体" w:hAnsi="宋体" w:cs="宋体" w:hint="eastAsia"/>
          <w:color w:val="auto"/>
          <w:sz w:val="32"/>
          <w:szCs w:val="32"/>
          <w:highlight w:val="none"/>
          <w:lang w:val="en-US" w:eastAsia="zh-CN"/>
        </w:rPr>
        <w:t xml:space="preserve">≦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1100元/人/年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1100元/人/年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幼儿伙食补助标准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ascii="宋体" w:eastAsia="宋体" w:hAnsi="宋体" w:cs="宋体" w:hint="eastAsia"/>
          <w:color w:val="auto"/>
          <w:sz w:val="32"/>
          <w:szCs w:val="32"/>
          <w:highlight w:val="none"/>
          <w:lang w:val="en-US" w:eastAsia="zh-CN"/>
        </w:rPr>
        <w:t xml:space="preserve">≦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1450元/人/年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1450元/人/年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hint="eastAsia"/>
          <w:color w:val="auto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学前保障取暖补助标准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ascii="宋体" w:eastAsia="宋体" w:hAnsi="宋体" w:cs="宋体" w:hint="eastAsia"/>
          <w:color w:val="auto"/>
          <w:sz w:val="32"/>
          <w:szCs w:val="32"/>
          <w:highlight w:val="none"/>
          <w:lang w:val="en-US" w:eastAsia="zh-CN"/>
        </w:rPr>
        <w:t xml:space="preserve">≦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120元/人/年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120元/人/年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pStyle w:val="BodyTextFirstIndent"/>
        <w:numPr>
          <w:ilvl w:val="0"/>
          <w:numId w:val="8"/>
        </w:numPr>
        <w:spacing w:line="560" w:lineRule="exact"/>
        <w:ind w:firstLine="643"/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  <w:lang w:val="en-US" w:eastAsia="zh-CN"/>
        </w:rPr>
        <w:t xml:space="preserve">项目效益情况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项目效益类指标包括项目实施效益和满意度两方面的内容，由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个三级指标构成，权重分为20分，实际得分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%。具体效益指标及满意度指标完成情况如下：</w:t>
      </w:r>
    </w:p>
    <w:p>
      <w:pPr>
        <w:numPr>
          <w:ilvl w:val="0"/>
          <w:numId w:val="3"/>
        </w:num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实施效益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①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社会效益指标：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保障教育教学工作的正常开展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有效保障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有效保障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2.满意度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教师满意度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ascii="宋体" w:eastAsia="宋体" w:hAnsi="宋体" w:cs="宋体" w:hint="eastAsia"/>
          <w:color w:val="auto"/>
          <w:sz w:val="32"/>
          <w:szCs w:val="32"/>
          <w:highlight w:val="none"/>
          <w:lang w:eastAsia="zh-CN"/>
        </w:rPr>
        <w:t xml:space="preserve">≧</w:t>
      </w:r>
      <w:r>
        <w:rPr>
          <w:rFonts w:ascii="宋体" w:hAnsi="宋体" w:cs="宋体" w:hint="eastAsia"/>
          <w:color w:val="auto"/>
          <w:sz w:val="32"/>
          <w:szCs w:val="32"/>
          <w:highlight w:val="none"/>
          <w:lang w:val="en-US" w:eastAsia="zh-CN"/>
        </w:rPr>
        <w:t xml:space="preserve">95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95%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幼儿家长满意度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，指标值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：</w:t>
      </w:r>
      <w:r>
        <w:rPr>
          <w:rFonts w:ascii="宋体" w:eastAsia="宋体" w:hAnsi="宋体" w:cs="宋体" w:hint="eastAsia"/>
          <w:color w:val="auto"/>
          <w:sz w:val="32"/>
          <w:szCs w:val="32"/>
          <w:highlight w:val="none"/>
          <w:lang w:eastAsia="zh-CN"/>
        </w:rPr>
        <w:t xml:space="preserve">≧</w:t>
      </w:r>
      <w:r>
        <w:rPr>
          <w:rFonts w:ascii="宋体" w:hAnsi="宋体" w:cs="宋体" w:hint="eastAsia"/>
          <w:color w:val="auto"/>
          <w:sz w:val="32"/>
          <w:szCs w:val="32"/>
          <w:highlight w:val="none"/>
          <w:lang w:val="en-US" w:eastAsia="zh-CN"/>
        </w:rPr>
        <w:t xml:space="preserve">95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95%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%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eastAsia="zh-CN"/>
        </w:rPr>
        <w:t xml:space="preserve">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pStyle w:val="闻政-正文段落文字"/>
        <w:spacing w:line="560" w:lineRule="exact"/>
        <w:ind w:firstLine="640"/>
        <w:rPr>
          <w:rFonts w:ascii="Times New Roman" w:eastAsia="方正仿宋_GBK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2024年农村学前三年免费教育保障机制补助经费项目年初预算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万元，全年预算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116.15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万元，实际支出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99.58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万元，预算执行率为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85.73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%，项目绩效指标总体完成率为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98.7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%，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bidi="ar-SA"/>
        </w:rPr>
        <w:t xml:space="preserve">总体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偏差率为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1.3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%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，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bidi="ar-SA"/>
        </w:rPr>
        <w:t xml:space="preserve">偏差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原因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学前幼儿伙食资金支付按照进度和每月幼儿考勤实际人数进行支付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，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bidi="ar-SA"/>
        </w:rPr>
        <w:t xml:space="preserve">改进</w:t>
      </w:r>
      <w:r>
        <w:rPr>
          <w:rFonts w:ascii="Times New Roman" w:eastAsia="仿宋_GB2312" w:hAnsi="Times New Roman" w:cs="Times New Roman" w:hint="default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措施</w:t>
      </w:r>
      <w:r>
        <w:rPr>
          <w:rFonts w:ascii="Times New Roman" w:eastAsia="仿宋_GB2312" w:hAnsi="Times New Roman" w:cs="Times New Roman" w:hint="eastAsia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按</w:t>
      </w:r>
      <w:r>
        <w:rPr>
          <w:rFonts w:ascii="仿宋_GB2312" w:eastAsia="仿宋_GB2312" w:hAnsi="宋体" w:hint="eastAsia"/>
          <w:b w:val="0"/>
          <w:bCs/>
          <w:color w:val="auto"/>
          <w:sz w:val="32"/>
          <w:szCs w:val="32"/>
          <w:highlight w:val="none"/>
        </w:rPr>
        <w:t xml:space="preserve">照实施进度</w:t>
      </w:r>
      <w:r>
        <w:rPr>
          <w:rFonts w:ascii="仿宋_GB2312" w:eastAsia="仿宋_GB2312" w:hAnsi="宋体" w:hint="eastAsia"/>
          <w:b w:val="0"/>
          <w:bCs/>
          <w:color w:val="auto"/>
          <w:sz w:val="32"/>
          <w:szCs w:val="32"/>
          <w:highlight w:val="none"/>
          <w:lang w:val="en-US" w:eastAsia="zh-CN"/>
        </w:rPr>
        <w:t xml:space="preserve">及时</w:t>
      </w:r>
      <w:r>
        <w:rPr>
          <w:rFonts w:ascii="仿宋_GB2312" w:eastAsia="仿宋_GB2312" w:hAnsi="宋体" w:hint="eastAsia"/>
          <w:b w:val="0"/>
          <w:bCs/>
          <w:color w:val="auto"/>
          <w:sz w:val="32"/>
          <w:szCs w:val="32"/>
          <w:highlight w:val="none"/>
        </w:rPr>
        <w:t xml:space="preserve">进行支付</w:t>
      </w:r>
      <w:r>
        <w:rPr>
          <w:rFonts w:ascii="仿宋_GB2312" w:eastAsia="仿宋_GB2312" w:hAnsi="宋体" w:hint="eastAsia"/>
          <w:b w:val="0"/>
          <w:bCs/>
          <w:color w:val="auto"/>
          <w:sz w:val="32"/>
          <w:szCs w:val="32"/>
          <w:highlight w:val="none"/>
          <w:lang w:val="en-US" w:eastAsia="zh-CN"/>
        </w:rPr>
        <w:t xml:space="preserve">资金</w:t>
      </w:r>
      <w:r>
        <w:rPr>
          <w:rFonts w:ascii="Times New Roman" w:eastAsia="方正仿宋_GBK" w:hAnsi="Times New Roman" w:cs="Times New Roman" w:hint="default"/>
          <w:color w:val="auto"/>
          <w:sz w:val="32"/>
          <w:szCs w:val="32"/>
          <w:highlight w:val="none"/>
        </w:rPr>
        <w:t xml:space="preserve">。</w:t>
      </w:r>
    </w:p>
    <w:p>
      <w:pPr>
        <w:spacing w:line="560" w:lineRule="exact"/>
        <w:ind w:firstLine="640" w:firstLineChars="200"/>
        <w:rPr>
          <w:rStyle w:val="fontstyle01"/>
          <w:rFonts w:ascii="Times New Roman" w:hAnsi="Times New Roman" w:cs="Times New Roman" w:hint="default"/>
          <w:color w:val="auto"/>
          <w:highlight w:val="none"/>
        </w:rPr>
      </w:pPr>
      <w:r>
        <w:rPr>
          <w:rFonts w:eastAsia="黑体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六、</w:t>
      </w:r>
      <w:r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  <w:t xml:space="preserve">主要经验及做法、存在的问题及原因分析</w:t>
      </w:r>
    </w:p>
    <w:p>
      <w:pPr>
        <w:spacing w:line="560" w:lineRule="exact"/>
        <w:ind w:firstLine="640" w:firstLineChars="200"/>
        <w:rPr>
          <w:rFonts w:ascii="Times New Roman" w:eastAsia="楷体" w:hAnsi="Times New Roman" w:cs="Times New Roman" w:hint="default"/>
          <w:b/>
          <w:color w:val="auto"/>
          <w:spacing w:val="-4"/>
          <w:sz w:val="32"/>
          <w:szCs w:val="32"/>
          <w:highlight w:val="none"/>
        </w:rPr>
      </w:pPr>
      <w:r>
        <w:rPr>
          <w:rFonts w:ascii="Times New Roman" w:eastAsia="楷体" w:hAnsi="Times New Roman" w:cs="Times New Roman" w:hint="default"/>
          <w:b/>
          <w:color w:val="auto"/>
          <w:spacing w:val="-4"/>
          <w:sz w:val="32"/>
          <w:szCs w:val="32"/>
          <w:highlight w:val="none"/>
        </w:rPr>
        <w:t xml:space="preserve">（一）主要经验及做法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pStyle w:val="Title"/>
        <w:spacing w:before="0" w:after="0" w:line="560" w:lineRule="exact"/>
        <w:ind w:firstLine="640" w:firstLineChars="200"/>
        <w:jc w:val="left"/>
        <w:rPr>
          <w:rFonts w:ascii="Times New Roman" w:eastAsia="仿宋_GB2312" w:hAnsi="Times New Roman" w:cs="Times New Roman" w:hint="default"/>
          <w:b w:val="0"/>
          <w:bCs w:val="0"/>
          <w:color w:val="auto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auto"/>
          <w:kern w:val="2"/>
          <w:highlight w:val="none"/>
        </w:rPr>
        <w:t xml:space="preserve">严格坚持先做事、后验收、再拨付的原则，</w:t>
      </w:r>
      <w:r>
        <w:rPr>
          <w:rFonts w:ascii="Times New Roman" w:eastAsia="仿宋_GB2312" w:hAnsi="Times New Roman" w:cs="Times New Roman" w:hint="eastAsia"/>
          <w:b w:val="0"/>
          <w:bCs w:val="0"/>
          <w:color w:val="auto"/>
          <w:kern w:val="2"/>
          <w:highlight w:val="none"/>
          <w:lang w:eastAsia="zh-CN"/>
        </w:rPr>
        <w:t xml:space="preserve">杜绝</w:t>
      </w:r>
      <w:r>
        <w:rPr>
          <w:rFonts w:ascii="Times New Roman" w:eastAsia="仿宋_GB2312" w:hAnsi="Times New Roman" w:cs="Times New Roman" w:hint="default"/>
          <w:b w:val="0"/>
          <w:bCs w:val="0"/>
          <w:color w:val="auto"/>
          <w:kern w:val="2"/>
          <w:highlight w:val="none"/>
        </w:rPr>
        <w:t xml:space="preserve"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numPr>
          <w:ilvl w:val="0"/>
          <w:numId w:val="5"/>
        </w:num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color w:val="auto"/>
          <w:sz w:val="32"/>
          <w:szCs w:val="32"/>
          <w:highlight w:val="none"/>
        </w:rPr>
        <w:t xml:space="preserve">存在的问题及原因分析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干部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分人员缺乏相关绩效管理专业知识，自评价工作还存在自我审定的局限性，影响评价质量。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2.因轮岗、调动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等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因素使我单位绩效工作人员流动频繁，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造成</w:t>
      </w: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工作衔接不到位的情况。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3.</w:t>
      </w:r>
      <w:r>
        <w:rPr>
          <w:rFonts w:ascii="仿宋_GB2312" w:eastAsia="仿宋_GB2312" w:hAnsi="宋体" w:hint="eastAsia"/>
          <w:b w:val="0"/>
          <w:bCs/>
          <w:color w:val="auto"/>
          <w:sz w:val="32"/>
          <w:szCs w:val="32"/>
          <w:highlight w:val="none"/>
        </w:rPr>
        <w:t xml:space="preserve">固定资产管理有待进一步加强。固定资产规模大，数量多，日常监督管理有待进一步加强。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eastAsia="黑体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七、</w:t>
      </w:r>
      <w:r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  <w:t xml:space="preserve">有关建议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1.多进行有关绩效管理工作方面的培训。积极组织第三方开展绩效管理工作培训，进一步夯实业务基础，提高我单位绩效人员水平。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hAnsi="Times New Roman" w:cs="Times New Roman" w:hint="default"/>
          <w:color w:val="auto"/>
          <w:sz w:val="22"/>
          <w:szCs w:val="28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  <w:lang w:val="en-US" w:eastAsia="zh-CN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ascii="Times New Roman" w:eastAsia="仿宋_GB2312" w:hAnsi="Times New Roman" w:cs="Times New Roman" w:hint="default"/>
          <w:color w:val="auto"/>
          <w:sz w:val="36"/>
          <w:szCs w:val="32"/>
          <w:highlight w:val="none"/>
        </w:rPr>
        <w:t xml:space="preserve">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eastAsia="黑体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八、</w:t>
      </w:r>
      <w:r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  <w:t xml:space="preserve">其他需要说</w:t>
      </w:r>
      <w:bookmarkStart w:id="1" w:name="page8"/>
      <w:bookmarkEnd w:id="1"/>
      <w:r>
        <w:rPr>
          <w:rFonts w:ascii="Times New Roman" w:eastAsia="黑体" w:hAnsi="Times New Roman" w:cs="Times New Roman" w:hint="default"/>
          <w:color w:val="auto"/>
          <w:sz w:val="32"/>
          <w:szCs w:val="32"/>
          <w:highlight w:val="none"/>
        </w:rPr>
        <w:t xml:space="preserve">明的问题</w:t>
      </w:r>
    </w:p>
    <w:p>
      <w:pPr>
        <w:pStyle w:val="BodyTextFirstIndent2"/>
        <w:spacing w:after="0" w:line="560" w:lineRule="exact"/>
        <w:ind w:left="0" w:firstLine="640" w:leftChars="0"/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auto"/>
          <w:sz w:val="32"/>
          <w:szCs w:val="32"/>
          <w:highlight w:val="none"/>
        </w:rPr>
        <w:t xml:space="preserve">本项目无其他需说明的问题。</w:t>
      </w:r>
    </w:p>
    <w:p>
      <w:pPr>
        <w:pStyle w:val="BodyTextFirstIndent2"/>
        <w:spacing w:after="0" w:line="560" w:lineRule="exact"/>
        <w:ind w:left="0" w:firstLine="0" w:leftChars="0" w:firstLineChars="0"/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none"/>
          <w:lang w:eastAsia="zh-CN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decimal"/>
      <w:suff w:val="tab"/>
      <w:lvlText w:val="%1."/>
      <w:lvlJc w:val="left"/>
      <w:pPr>
        <w:tabs>
          <w:tab w:val="left" w:pos="312"/>
        </w:tabs>
      </w:pPr>
      <w:rPr/>
    </w:lvl>
  </w:abstractNum>
  <w:abstractNum w:abstractNumId="3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4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multiLevelType w:val="singleLevel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 w:semiHidden="0" w:uiPriority="0" w:unhideWhenUsed="0" w:qFormat="1"/>
    <w:lsdException w:name="Body Text First Indent 2" w:semiHidden="0" w:uiPriority="0" w:unhideWhenUsed="0" w:qFormat="1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Calibri" w:hAnsi="Calibri"/>
    </w:r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Normal(Web)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paragraph" w:styleId="BodyTextFirstIndent">
    <w:name w:val="Body Text First Indent"/>
    <w:basedOn w:val="BodyText"/>
    <w:qFormat/>
    <w:pPr>
      <w:spacing w:after="0"/>
      <w:ind w:firstLine="200" w:firstLineChars="200"/>
    </w:pPr>
    <w:rPr/>
  </w:style>
  <w:style w:type="paragraph" w:styleId="BodyTextFirstIndent2">
    <w:name w:val="Body Text First Indent 2"/>
    <w:basedOn w:val="BodyTextIndent"/>
    <w:qFormat/>
    <w:pPr>
      <w:ind w:firstLine="420" w:firstLineChars="200"/>
    </w:pPr>
    <w:rPr/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paragraph" w:customStyle="1" w:styleId="Char">
    <w:name w:val="Char"/>
    <w:basedOn w:val="Normal"/>
    <w:uiPriority w:val="99"/>
    <w:qFormat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lang w:eastAsia="en-US"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闻政-正文段落文字">
    <w:name w:val="闻政-正文段落文字"/>
    <w:basedOn w:val="Normal"/>
    <w:uiPriority w:val="3"/>
    <w:qFormat/>
    <w:pPr>
      <w:spacing w:line="500" w:lineRule="exact"/>
      <w:ind w:firstLine="200"/>
    </w:pPr>
    <w:rPr>
      <w:kern w:val="0"/>
      <w:szCs w:val="28"/>
    </w:rPr>
  </w:style>
  <w:style w:type="character" w:customStyle="1" w:styleId="fontstyle01">
    <w:name w:val="fontstyle01"/>
    <w:qFormat/>
    <w:rPr>
      <w:rFonts w:ascii="仿宋_GB2312" w:eastAsia="仿宋_GB2312" w:hAnsi="仿宋_GB2312" w:cs="仿宋_GB2312"/>
      <w:color w:val="000000"/>
      <w:sz w:val="32"/>
      <w:szCs w:val="32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0911EC72BC194C8DB720FAC4135157C1_13</vt:lpwstr>
  </property>
  <property fmtid="{D5CDD505-2E9C-101B-9397-08002B2CF9AE}" pid="4" name="KSOTemplateDocerSaveRecord">
    <vt:lpwstr>eyJoZGlkIjoiNzYwY2ViMGRmOGM4MTY2MjdhMjNlOWZmYjI2MGM0Y2UiLCJ1c2VySWQiOiIyODQ1NDgzNTQifQ==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21</Pages>
  <Words>9579</Words>
  <Characters>9915</Characters>
  <Application>WPS Office_12.1.0.15120_F1E327BC-269C-435d-A152-05C5408002CA</Application>
  <DocSecurity>0</DocSecurity>
  <Lines>5</Lines>
  <Paragraphs>1</Paragraphs>
  <CharactersWithSpaces>9938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2025-09-19T02:11:58Z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0911EC72BC194C8DB720FAC4135157C1_13</vt:lpwstr>
  </property>
  <property fmtid="{D5CDD505-2E9C-101B-9397-08002B2CF9AE}" pid="4" name="KSOTemplateDocerSaveRecord">
    <vt:lpwstr>eyJoZGlkIjoiNzYwY2ViMGRmOGM4MTY2MjdhMjNlOWZmYjI2MGM0Y2UiLCJ1c2VySWQiOiIyODQ1NDgzNTQifQ_x003D__x003D_</vt:lpwstr>
  </property>
</Properties>
</file>