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裕民县第一中学，始建于1943年,属于全额事业拨款单位。发展教育事业、贯彻落实党的教育方针、加深教育教学政策、全面提高高中教育教学质量。提高干部、教师队伍的政治素质、文化素质、道德素质和身体素质，形成一支以骨干教师为中心的教师队伍。坚持以德育为首，以教学为中心，深化教育改革，全面实施素质教育。认真抓好体育、卫生、美育、劳动教育和财务后勤工作等职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裕民县第一中学2024年度，实有人数188人，其中：在职人员102人，增加17人；离休人员0人，增加0人；退休人员86人,增加2人。</w:t>
      </w:r>
    </w:p>
    <w:p>
      <w:pPr>
        <w:spacing w:line="580" w:lineRule="exact"/>
        <w:ind w:firstLine="640"/>
        <w:jc w:val="both"/>
      </w:pPr>
      <w:r>
        <w:rPr>
          <w:rFonts w:ascii="仿宋_GB2312" w:hAnsi="仿宋_GB2312" w:eastAsia="仿宋_GB2312"/>
          <w:sz w:val="32"/>
        </w:rPr>
        <w:t>裕民县第一中学无下属预算单位，下设7个科室，分别是：教务处、教研室、德育处、后勤处、办公室、工会、团委。</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2024年度收入总计2,221.50万元，</w:t>
      </w:r>
      <w:r>
        <w:rPr>
          <w:rFonts w:ascii="仿宋_GB2312" w:hAnsi="仿宋_GB2312" w:eastAsia="仿宋_GB2312"/>
          <w:b w:val="0"/>
          <w:sz w:val="32"/>
        </w:rPr>
        <w:t>其中：本年收入合计2,217.14万元，使用非财政拨款结余（含专用结余）0.00万元，年初结转和结余4.36万元。</w:t>
      </w:r>
    </w:p>
    <w:p>
      <w:pPr>
        <w:spacing w:line="580" w:lineRule="exact"/>
        <w:ind w:firstLine="640"/>
        <w:jc w:val="both"/>
      </w:pPr>
      <w:r>
        <w:rPr>
          <w:rFonts w:ascii="仿宋_GB2312" w:hAnsi="仿宋_GB2312" w:eastAsia="仿宋_GB2312"/>
          <w:b/>
          <w:sz w:val="32"/>
        </w:rPr>
        <w:t>2024年度支出总计2,221.50万元，</w:t>
      </w:r>
      <w:r>
        <w:rPr>
          <w:rFonts w:ascii="仿宋_GB2312" w:hAnsi="仿宋_GB2312" w:eastAsia="仿宋_GB2312"/>
          <w:b w:val="0"/>
          <w:sz w:val="32"/>
        </w:rPr>
        <w:t>其中：本年支出合计2,202.84万元，结余分配0.00万元，年末结转和结余18.67万元。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增加134.91万元，增长6.47%，主要原因是：本年在职人员工资调增，社保、公积金基数调增，人员经费增加。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本年收入2,217.14万元，</w:t>
      </w:r>
      <w:r>
        <w:rPr>
          <w:rFonts w:ascii="仿宋_GB2312" w:hAnsi="仿宋_GB2312" w:eastAsia="仿宋_GB2312"/>
          <w:b w:val="0"/>
          <w:sz w:val="32"/>
        </w:rPr>
        <w:t>其中：财政拨款收入2,101.94万元，占94.80%；上级补助收入0.00万元，占0.00%；事业收入77.38万元，占3.49%；经营收入0.00万元，占0.00%；附属单位上缴收入0.00万元，占0.00%；其他收入37.82万元，占1.71%。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本年支出2,202.84万元，</w:t>
      </w:r>
      <w:r>
        <w:rPr>
          <w:rFonts w:ascii="仿宋_GB2312" w:hAnsi="仿宋_GB2312" w:eastAsia="仿宋_GB2312"/>
          <w:b w:val="0"/>
          <w:sz w:val="32"/>
        </w:rPr>
        <w:t>其中：基本支出1,973.40万元，占89.58%；项目支出229.44万元，占10.42%；上缴上级支出0.00万元，占0.00%；经营支出0.00万元，占0.00%；对附属单位补助支出0.00万元，占0.00%。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2024年度财政拨款收入总计2,101.94万元，</w:t>
      </w:r>
      <w:r>
        <w:rPr>
          <w:rFonts w:ascii="仿宋_GB2312" w:hAnsi="仿宋_GB2312" w:eastAsia="仿宋_GB2312"/>
          <w:b w:val="0"/>
          <w:sz w:val="32"/>
        </w:rPr>
        <w:t>其中：年初财政拨款结转和结余0.00万元，本年财政拨款收入2,101.94万元。</w:t>
      </w:r>
      <w:r>
        <w:rPr>
          <w:rFonts w:ascii="仿宋_GB2312" w:hAnsi="仿宋_GB2312" w:eastAsia="仿宋_GB2312"/>
          <w:b/>
          <w:sz w:val="32"/>
        </w:rPr>
        <w:t>财政拨款支出总计2,101.94万元，</w:t>
      </w:r>
      <w:r>
        <w:rPr>
          <w:rFonts w:ascii="仿宋_GB2312" w:hAnsi="仿宋_GB2312" w:eastAsia="仿宋_GB2312"/>
          <w:b w:val="0"/>
          <w:sz w:val="32"/>
        </w:rPr>
        <w:t>其中：年末财政拨款结转和结余0.00万元，本年财政拨款支出2,101.94万元。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增加86.55万元，增长4.29%，主要原因是：本年在职人员工资调增，社保、公积金基数调增，人员经费增加。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年初预算数2,018.78万元，决算数2,101.94万元，预决算差异率4.12%，主要原因是：年中追加人员工资、社保、公积金基数调增部分资金，导致预决算差异。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2024年度一般公共预算财政拨款支出2,101.94万元，</w:t>
      </w:r>
      <w:r>
        <w:rPr>
          <w:rFonts w:ascii="仿宋_GB2312" w:hAnsi="仿宋_GB2312" w:eastAsia="仿宋_GB2312"/>
          <w:b w:val="0"/>
          <w:sz w:val="32"/>
        </w:rPr>
        <w:t>占本年支出合计的95.42%。</w:t>
      </w:r>
      <w:r>
        <w:rPr>
          <w:rFonts w:ascii="仿宋_GB2312" w:hAnsi="仿宋_GB2312" w:eastAsia="仿宋_GB2312"/>
          <w:b/>
          <w:sz w:val="32"/>
        </w:rPr>
        <w:t>与上年相比，</w:t>
      </w:r>
      <w:r>
        <w:rPr>
          <w:rFonts w:ascii="仿宋_GB2312" w:hAnsi="仿宋_GB2312" w:eastAsia="仿宋_GB2312"/>
          <w:b w:val="0"/>
          <w:sz w:val="32"/>
        </w:rPr>
        <w:t>增加86.55万元，增长4.29%，主要原因是：本年在职人员工资调增，社保、公积金基数调增，人员经费增加。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年初预算数2,018.78万元，决算数2,101.94万元，预决算差异率4.12%，主要原因是：年中追加人员工资、社保、公积金基数调增部分资金，导致预决算差异。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1.教育支出(类)1,581.27万元,占75.23%。</w:t>
      </w:r>
    </w:p>
    <w:p>
      <w:pPr>
        <w:spacing w:line="580" w:lineRule="exact"/>
        <w:ind w:firstLine="640"/>
        <w:jc w:val="both"/>
      </w:pPr>
      <w:r>
        <w:rPr>
          <w:rFonts w:ascii="仿宋_GB2312" w:hAnsi="仿宋_GB2312" w:eastAsia="仿宋_GB2312"/>
          <w:b w:val="0"/>
          <w:sz w:val="32"/>
        </w:rPr>
        <w:t>2.社会保障和就业支出(类)314.19万元,占14.95%。</w:t>
      </w:r>
    </w:p>
    <w:p>
      <w:pPr>
        <w:spacing w:line="580" w:lineRule="exact"/>
        <w:ind w:firstLine="640"/>
        <w:jc w:val="both"/>
      </w:pPr>
      <w:r>
        <w:rPr>
          <w:rFonts w:ascii="仿宋_GB2312" w:hAnsi="仿宋_GB2312" w:eastAsia="仿宋_GB2312"/>
          <w:b w:val="0"/>
          <w:sz w:val="32"/>
        </w:rPr>
        <w:t>3.卫生健康支出(类)72.95万元,占3.47%。</w:t>
      </w:r>
    </w:p>
    <w:p>
      <w:pPr>
        <w:spacing w:line="580" w:lineRule="exact"/>
        <w:ind w:firstLine="640"/>
        <w:jc w:val="both"/>
      </w:pPr>
      <w:r>
        <w:rPr>
          <w:rFonts w:ascii="仿宋_GB2312" w:hAnsi="仿宋_GB2312" w:eastAsia="仿宋_GB2312"/>
          <w:b w:val="0"/>
          <w:sz w:val="32"/>
        </w:rPr>
        <w:t>4.住房保障支出(类)133.54万元,占6.35%。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高中教育(项):支出决算数为1,581.27万元，比上年决算增加119.66万元，增长8.19%,主要原因是：本年在职人员工资调增，人员经费增加；本年功能科目调整，取暖费上年在其他教育费附加安排的支出科目列支，本年在主科目列支，导致经费较上年增加。</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58.42万元，下降100.00%,主要原因是：本年功能科目调整，取暖费上年在其他教育费附加安排的支出科目列支，本年在主科目列支，导致经费较上年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3.社会保障和就业支出(类)行政事业单位养老支出(款)事业单位离退休(项):支出决算数为95.25万元，比上年决算增加19.94万元，增长26.48%,主要原因是：本年退休人员增加，退休费支出增加。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172.31万元，比上年决算增加8.65万元，增长5.29%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46.63万元，比上年决算减少6.08万元，下降11.53%,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6.卫生健康支出(类)行政事业单位医疗(款)事业单位医疗(项):支出决算数为72.95万元，比上年决算减少1.00万元，下降1.35%,主要原因是：本年医疗缴费比例从8%下降至7.5%，导致医疗缴费减少。</w:t>
      </w:r>
    </w:p>
    <w:p>
      <w:pPr>
        <w:spacing w:line="580" w:lineRule="exact"/>
        <w:ind w:firstLine="640"/>
        <w:jc w:val="both"/>
      </w:pPr>
      <w:r>
        <w:rPr>
          <w:rFonts w:ascii="仿宋_GB2312" w:hAnsi="仿宋_GB2312" w:eastAsia="仿宋_GB2312"/>
          <w:b w:val="0"/>
          <w:sz w:val="32"/>
        </w:rPr>
        <w:t>7.农林水支出(类)农业农村(款)其他农业农村支出(项):支出决算数为0.00万元，比上年决算减少2.48万元，下降100.00%,主要原因是：上年度此支出为工作队支出，本年无工作队，因此无此项支出。</w:t>
      </w:r>
    </w:p>
    <w:p>
      <w:pPr>
        <w:spacing w:line="580" w:lineRule="exact"/>
        <w:ind w:firstLine="640"/>
        <w:jc w:val="both"/>
      </w:pPr>
      <w:r>
        <w:rPr>
          <w:rFonts w:ascii="仿宋_GB2312" w:hAnsi="仿宋_GB2312" w:eastAsia="仿宋_GB2312"/>
          <w:b w:val="0"/>
          <w:sz w:val="32"/>
        </w:rPr>
        <w:t>8.住房保障支出(类)住房改革支出(款)住房公积金(项):支出决算数为133.54万元，比上年决算增加6.30万元，增长4.95%,主要原因是：本年在职人员工资基数调增，公积金缴费基数上涨，相应支出增加。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2024年度一般公共预算财政拨款基本支出1,953.55万元，其中：</w:t>
      </w:r>
      <w:r>
        <w:rPr>
          <w:rFonts w:ascii="仿宋_GB2312" w:hAnsi="仿宋_GB2312" w:eastAsia="仿宋_GB2312"/>
          <w:b/>
          <w:sz w:val="32"/>
        </w:rPr>
        <w:t>人员经费1,894.32万元，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w:t>
      </w:r>
    </w:p>
    <w:p>
      <w:pPr>
        <w:spacing w:line="580" w:lineRule="exact"/>
        <w:ind w:firstLine="640"/>
        <w:jc w:val="both"/>
      </w:pPr>
      <w:r>
        <w:rPr>
          <w:rFonts w:ascii="仿宋_GB2312" w:hAnsi="仿宋_GB2312" w:eastAsia="仿宋_GB2312"/>
          <w:b/>
          <w:sz w:val="32"/>
        </w:rPr>
        <w:t>公用经费59.23万元，</w:t>
      </w:r>
      <w:r>
        <w:rPr>
          <w:rFonts w:ascii="仿宋_GB2312" w:hAnsi="仿宋_GB2312" w:eastAsia="仿宋_GB2312"/>
          <w:b w:val="0"/>
          <w:sz w:val="32"/>
        </w:rPr>
        <w:t>包括：取暖费、工会经费、福利费。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2024年度裕民县第一中学（事业单位）公用经费支出59.23万元，比上年增加38.95万元，增长192.06%，主要原因是：本年增加新建校区的取暖费，导致公用经费增加。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2024年度政府采购支出总额6.58万元，其中：政府采购货物支出6.58万元、政府采购工程支出0.00万元、政府采购服务支出0.00万元。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授予中小企业合同金额6.58万元，占政府采购支出总额的100.00%，其中：授予小微企业合同金额6.58万元，占政府采购支出总额的100.00%。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10,624.96平方米，价值1,878.91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2,217.14万元，实际执行总额2,217.14万元；预算绩效评价项目7个，全年预算数242.20万元，全年执行数230.13万元。预算绩效管理取得的成效：一是保障教育教学正常开展、办好人民满意的教育；二是有效提高学生身体健康水平，增强学生身体素质。发现的问题及原因：一是有个别的项目绩效相关资料有待进一步完善；二是项目绩效有关内容财务人员理解不透彻。下一步改进措施：一是在今后的工作中，我们将严格执行财经纪律、法规和国家统一的财务预决算制度，做到合理合法、严谨认真、不出差错；二是遇到问题并及时自查，认真整改，明确责任抓好落实，从而保证财务工作的顺利进行。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裕民县第一中学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2,176.42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2,217.14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2,217.14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1,965.62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2,048.78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2,048.78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115.20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115.20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为了保障我校各项工作运行顺畅，履行好工作职责，现计划做好我校在职人员91人的正常办公、生活秩序。保障85名退休职工的基本生活需要。确保所有补贴类经费按时按标准发</w:t>
              <w:br/>
              <w:br/>
              <w:t>放至学生和教师手中，公用经费要发挥其作用，保障我校的教育教学工作有序进行；教师积极参加各项培训，进一步提高我校的教育教学能力。全面推进素质教育，严格经费制度，抓好教师队伍建设，办人民满意的教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完成了我校各项工作运行顺畅，履行好工作职责做好了我校在职人员93人的正常办公、生活秩序。保障了81名退休职工的基本生活需要。确保了所有补贴类经费按时按标准发放至学生和教师手中，公用经费要发挥了其作用，保障了我校的教育教学工作有序进行；教师们积极参加各项培训，进一步提高了我校的教育教学能力。全面推进素质教育，严格经费制度，抓好教师队伍建设，办人民满意的教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在职教职工人数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高中教育阶段享受助学金补助学生人数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中央文件塔地财教【2023】102号文塔地财教【2023】109号文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高中免学杂费享受补助学生人数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中央文件塔地财教【2023】102号文塔地财教【2023】109号文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享受班主任津贴补贴人数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贫困寄宿生人数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助学金补助覆盖率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免学杂费补助覆盖率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高中毕业生合格率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2024年支付2023年一中购买电脑经费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我单位2024年支付2023年一中购买电脑经费项目，2024年计划支出20.99万元，用于2023年学校购买40台电脑费用，项目实施后，能够达到改善和优化学校的办学条件，提高学生整体素质，推动学校可持续发展,确保教育教学的正常开展效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支付2023年一中购买电脑经费项目预算资金20.99万元，截止2024年12月31日，已支付20.99万元。项目按照计划正常实行，能够达到改善和优化学校的办学条件，提高学生整体素质，推动学校可持续发展,确保教育教学的正常开展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笔记本电脑购置数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台式电脑购置数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&gt;=20台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购置电脑质量合格率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项目款支付完成时间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笔记本电脑购置平均成本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&lt;=5999元/台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5999元/台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台式电脑购置平均成本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4500元/台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保障学校教育教学正常开展，提升教师教育教学能力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显著提升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2024年免学杂费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95.36%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23.84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我单位2024年普通高中免学杂费项目，2024年计划支出25万元，用于我校40名教师培训费，水费、电费、维修费、办公费等完成教育教学活动和其他日常工作任务等方面的支出，项目实施后，能够达到保障高中教育阶段学校正常的经费开支运转、提供完成教育教学活动和其他日常工作任务等方面的支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2023年普通高中免除学费项目预算资金25万元，截止2024年12月31日，已支付23.84万元。项目按照计划正常实行，保障了教育教学工作有序开展，进一步减轻了高中教育阶段家庭经济困难学生家庭的经济负担，使家庭经济困难生安心就读。此项目使用资金23.84万元用于我校水费、电费、维修费、办公费支出，确保了教育教学的正常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免学杂费受助人数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&gt;=163人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培训教师人数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教师培训合格率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补助资金及时支付率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高中免学杂费补贴标准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&lt;=1430元/人/年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1430元/人/年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1430元/人/年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教师培训成本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保障学校正常运转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99.54分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2024年教育附加安排的支出（取暖费）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58.42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我单位2024年教育费附加安排的支出（取暖费）项目，2024年计划支出58.42万元，用于支付我校2024年19875.36平方米取暖费，项目实施后，能够达到1、保障高中教育阶段学校正常的取暖经费开支运转、提供完成教育教学活动供暖环境的保障的正常支出。 2、财政下拨资金，用于支付当年单位日常取暖开支，计划分月逐步支出。 3、中小学公用取暖经费为中小学日常教学运转提供供暖财力支持与保障，教学的各个方面都得到了一定的财力支持，从而使得教学顺利进行。 4、管好用好取暖经费关系到学校正常运转，是教学顺利高效进行的前提，也是提高教育质量和办学档次的重要保障等效。</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教育费附加安排的支出（取暖费）项目预算资金58.42万元，截止2024年5月30日，已支付58.42万元。项目按照计划正常实行，保障学校正常的取暖经费开支运转、提供完成教育教学活动供暖环境的保障的正常支出。 2、财政下拨资金，用于支付当年单位日常取暖开支，计划分月逐步支出。 3、中小学公用取暖经费为中小学日常教学运转提供供暖财力支持与保障，教学的各个方面都得到了一定的财力支持，从而使得教学顺利进行。 4、管好用好取暖经费关系到学校正常运转，是教学顺利高效进行的前提，也是提高教育质量和办学档次的重要保障。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在校生人数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公用取暖费面积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&gt;=19875.36平方米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19875.36平方米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19875.36平方米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校园取暖面积覆盖率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公用取暖费资金总额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&lt;=29.4元/平方米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58.42万元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29.4元/平方米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保障学校教育教学正常开展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2024年教师培训费（工资的2%）</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度教师培训费项目经费3.42万元，最大限度保证完成教育教学活动的支出。改善和优化我校的教学水平，丰富学生的课余生活，提高教师整体素质，推动学校可持续发展。提高教师业务水平，完善培养培训体系，做好培养培训规划，优化队伍结构，提高教师专业水平和教学能力。通过研修培训，学术交流等方式，培养教育教学骨干教师、学术带头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教师培训费年初预算安排3.42万元，截止2024年12月31日支付了教师培训费3.42万元，用于教师培训经费的支出，促进了教学质量提升。2024年度教师培训费项目经费最大限度保证完成了教育教学活动的支出。改善和优化我园的教学水平，丰富学生的课余生活，提高教师整体素质，推动学校可持续发展。提高教师业务水平，完善培养培训体系，做好培养培训规划，优化队伍结构，提高教师专业水平和教学能力。通过研修培训，学术交流等方式，培养教育教学骨干教师、学术带头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培训教师人数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教师培训结业率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培训费金额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提升教师教育教学能力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2024年高中助学金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我单位2024年高中助学金项目，2024年计划支出41.72万元，用于给在校213名建档立卡贫困学生发放助学金，项目实施后，能够达到补助家庭经济困难的高中生，有效提高学生的身体健康水平，增强学生身体素质，让学生不为学习以外的事烦忧，全身心投入到学习中去效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高中助学金项目预算资金41.72万元，截止2024年12月31日，已支付41.72万元。高中助学金项目分春秋两季给219位学生发放助学金，项目按照计划正常实行，补助了家庭经济困难的高中生，有效提高了学生的身体健康水平，增强了学生身体素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助学金受助等次一人数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助学金受助等次二人数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助学金受助等次三人数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助学金发放周期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助学金发放金额等次一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助学金发放金额等次二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助学金发放金额等次三</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1600元/人/年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助学金政策知晓率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改善受助学生生活条件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受助学生满意度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2024年高中学费、住宿费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77.38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87.64%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8.76</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77.38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我单位2024年高中学费、住宿费项目，2024年计划支出88.92万元，用于我校教师培训费、水费、电费、维修费、办公费等完成教育教学活动和其他日常工作任务等方面的支出，项目实施后，能够达到确保学校教育教学的正常开展，学校正常运转的效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我单位2024年高中学费、住宿费项目预算资金88.92万元，截止2024年12月31日，已支付77.38万元。项目按照计划正常实行，用于我校教师培训费、水费、电费、维修费、办公费等完成教育教学活动和其他日常工作任务等方面的支出，项目实施后，能够达到确保学校教育教学的正常开展，学校正常运转的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保障单位正常运行数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资金支付截止时间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保障单位正常运行支出成本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&lt;=88.92万元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600元/人/每学期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77.38万元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87.02%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因年初预算金额做大了，所以有差额。</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保障学校教育教学正常开展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96.16分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裕民县教体局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裕民县第一中学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138.72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69.36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预计完成我校17个班级714名在校生的托管工作，收取的托管费用用于教师根据课时发放托管费用，更好的完成教育教学活动和其他日常工作任务，更好的实施我校德育、教学计划和学生全面健康成长。</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单位资金项目截止2024年12月25日完成我校17个班级714名在校生的托管工作，收取的托管费用用于教师根据课时发放托管费用，更好的完成了教育教学活动和其他日常工作任务，更好的实施了我校德育、教学计划和学生全面健康成长。</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在校生人数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学生托管覆盖率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2023年12年25日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项目总成本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&lt;=4.36万元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提升学校教育教学质量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