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裕民县社会福利院2024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（1）在县委、县政府的领导和上级民政部门的指导下建立院务管理委员会，开展日常的管理服务工作，并接受相关部门和社会各界的监督管理。</w:t>
      </w:r>
    </w:p>
    <w:p>
      <w:pPr>
        <w:spacing w:line="580" w:lineRule="exact"/>
        <w:ind w:firstLine="640"/>
        <w:jc w:val="both"/>
      </w:pPr>
      <w:r>
        <w:rPr>
          <w:rFonts w:ascii="仿宋_GB2312" w:hAnsi="仿宋_GB2312" w:eastAsia="仿宋_GB2312"/>
          <w:sz w:val="32"/>
        </w:rPr>
        <w:t>（2）贯彻落实党和政府对敬老院有关方针、政策，坚持民主管理、文明办院，管理服务于供(代)养入住的人员。</w:t>
      </w:r>
    </w:p>
    <w:p>
      <w:pPr>
        <w:spacing w:line="580" w:lineRule="exact"/>
        <w:ind w:firstLine="640"/>
        <w:jc w:val="both"/>
      </w:pPr>
      <w:r>
        <w:rPr>
          <w:rFonts w:ascii="仿宋_GB2312" w:hAnsi="仿宋_GB2312" w:eastAsia="仿宋_GB2312"/>
          <w:sz w:val="32"/>
        </w:rPr>
        <w:t>（3）制订本院管理服务、年度发展规划并做好实施工作。</w:t>
      </w:r>
    </w:p>
    <w:p>
      <w:pPr>
        <w:spacing w:line="580" w:lineRule="exact"/>
        <w:ind w:firstLine="640"/>
        <w:jc w:val="both"/>
      </w:pPr>
      <w:r>
        <w:rPr>
          <w:rFonts w:ascii="仿宋_GB2312" w:hAnsi="仿宋_GB2312" w:eastAsia="仿宋_GB2312"/>
          <w:sz w:val="32"/>
        </w:rPr>
        <w:t>（4）协助县委、县政府做好五保对象的供养工作，为供养入住的人员安排好吃、穿、住等方面的基本生活。</w:t>
      </w:r>
    </w:p>
    <w:p>
      <w:pPr>
        <w:spacing w:line="580" w:lineRule="exact"/>
        <w:ind w:firstLine="640"/>
        <w:jc w:val="both"/>
      </w:pPr>
      <w:r>
        <w:rPr>
          <w:rFonts w:ascii="仿宋_GB2312" w:hAnsi="仿宋_GB2312" w:eastAsia="仿宋_GB2312"/>
          <w:sz w:val="32"/>
        </w:rPr>
        <w:t>（5）为入住人员提供生活起居等方面的照料，组织开展有益于身心健康的文化娱乐、康复保健等活动和力所能及的公益劳动。</w:t>
      </w:r>
    </w:p>
    <w:p>
      <w:pPr>
        <w:spacing w:line="580" w:lineRule="exact"/>
        <w:ind w:firstLine="640"/>
        <w:jc w:val="both"/>
      </w:pPr>
      <w:r>
        <w:rPr>
          <w:rFonts w:ascii="仿宋_GB2312" w:hAnsi="仿宋_GB2312" w:eastAsia="仿宋_GB2312"/>
          <w:sz w:val="32"/>
        </w:rPr>
        <w:t>（6）建立健全院内的各项管理制度，加强对工作人员学习培训，做好院民资料及档案管理工作；落实院内防火安全责任制。</w:t>
      </w:r>
    </w:p>
    <w:p>
      <w:pPr>
        <w:spacing w:line="580" w:lineRule="exact"/>
        <w:ind w:firstLine="640"/>
        <w:jc w:val="both"/>
      </w:pPr>
      <w:r>
        <w:rPr>
          <w:rFonts w:ascii="仿宋_GB2312" w:hAnsi="仿宋_GB2312" w:eastAsia="仿宋_GB2312"/>
          <w:sz w:val="32"/>
        </w:rPr>
        <w:t>（7）收养周边城镇、乡镇无人抚养的孤残儿童，为入住的孤儿安排好吃、穿、住、就读等方面的基本生活。</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裕民县社会福利院2024年度，实有人数11人，其中：在职人员8人，减少2人；离休人员0人，增加0人；退休人员3人,增加0人。</w:t>
      </w:r>
    </w:p>
    <w:p>
      <w:pPr>
        <w:spacing w:line="580" w:lineRule="exact"/>
        <w:ind w:firstLine="640"/>
        <w:jc w:val="both"/>
      </w:pPr>
      <w:r>
        <w:rPr>
          <w:rFonts w:ascii="仿宋_GB2312" w:hAnsi="仿宋_GB2312" w:eastAsia="仿宋_GB2312"/>
          <w:sz w:val="32"/>
        </w:rPr>
        <w:t>裕民县社会福利院无下属预算单位，下设2个科室，分别是：办公室、财务室。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2024年度收入总计339.54万元，</w:t>
      </w:r>
      <w:r>
        <w:rPr>
          <w:rFonts w:ascii="仿宋_GB2312" w:hAnsi="仿宋_GB2312" w:eastAsia="仿宋_GB2312"/>
          <w:b w:val="0"/>
          <w:sz w:val="32"/>
        </w:rPr>
        <w:t>其中：本年收入合计312.44万元，使用非财政拨款结余（含专用结余）0.00万元，年初结转和结余27.09万元。</w:t>
      </w:r>
    </w:p>
    <w:p>
      <w:pPr>
        <w:spacing w:line="580" w:lineRule="exact"/>
        <w:ind w:firstLine="640"/>
        <w:jc w:val="both"/>
      </w:pPr>
      <w:r>
        <w:rPr>
          <w:rFonts w:ascii="仿宋_GB2312" w:hAnsi="仿宋_GB2312" w:eastAsia="仿宋_GB2312"/>
          <w:b/>
          <w:sz w:val="32"/>
        </w:rPr>
        <w:t>2024年度支出总计339.54万元，</w:t>
      </w:r>
      <w:r>
        <w:rPr>
          <w:rFonts w:ascii="仿宋_GB2312" w:hAnsi="仿宋_GB2312" w:eastAsia="仿宋_GB2312"/>
          <w:b w:val="0"/>
          <w:sz w:val="32"/>
        </w:rPr>
        <w:t>其中：本年支出合计314.63万元，结余分配0.00万元，年末结转和结余24.91万元。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减少39.90万元，下降10.52%，主要原因是：1.本年在职人员减少，相关人员经费较上年减少。2、本年老年服务费调整至民政局实施，经费减少。3、当年爱心人士捐款收入较上年减少。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本年收入312.44万元，</w:t>
      </w:r>
      <w:r>
        <w:rPr>
          <w:rFonts w:ascii="仿宋_GB2312" w:hAnsi="仿宋_GB2312" w:eastAsia="仿宋_GB2312"/>
          <w:b w:val="0"/>
          <w:sz w:val="32"/>
        </w:rPr>
        <w:t>其中：财政拨款收入270.14万元，占86.46%；上级补助收入0.00万元，占0.00%；事业收入0.00万元，占0.00%；经营收入0.00万元，占0.00%；附属单位上缴收入0.00万元，占0.00%；其他收入42.31万元，占13.54%。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本年支出314.63万元，</w:t>
      </w:r>
      <w:r>
        <w:rPr>
          <w:rFonts w:ascii="仿宋_GB2312" w:hAnsi="仿宋_GB2312" w:eastAsia="仿宋_GB2312"/>
          <w:b w:val="0"/>
          <w:sz w:val="32"/>
        </w:rPr>
        <w:t>其中：基本支出272.87万元，占86.73%；项目支出41.76万元，占13.27%；上缴上级支出0.00万元，占0.00%；经营支出0.00万元，占0.00%；对附属单位补助支出0.00万元，占0.00%。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2024年度财政拨款收入总计270.14万元，</w:t>
      </w:r>
      <w:r>
        <w:rPr>
          <w:rFonts w:ascii="仿宋_GB2312" w:hAnsi="仿宋_GB2312" w:eastAsia="仿宋_GB2312"/>
          <w:b w:val="0"/>
          <w:sz w:val="32"/>
        </w:rPr>
        <w:t>其中：年初财政拨款结转和结余0.00万元，本年财政拨款收入270.14万元。</w:t>
      </w:r>
      <w:r>
        <w:rPr>
          <w:rFonts w:ascii="仿宋_GB2312" w:hAnsi="仿宋_GB2312" w:eastAsia="仿宋_GB2312"/>
          <w:b/>
          <w:sz w:val="32"/>
        </w:rPr>
        <w:t>财政拨款支出总计270.14万元，</w:t>
      </w:r>
      <w:r>
        <w:rPr>
          <w:rFonts w:ascii="仿宋_GB2312" w:hAnsi="仿宋_GB2312" w:eastAsia="仿宋_GB2312"/>
          <w:b w:val="0"/>
          <w:sz w:val="32"/>
        </w:rPr>
        <w:t>其中：年末财政拨款结转和结余0.00万元，本年财政拨款支出270.14万元。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减少54.56万元，下降16.80%，主要原因是：1.本年在职人员减少，相关人员经费较上年减少。2、本年老年服务费调整至民政局实施，经费减少。</w:t>
      </w:r>
      <w:r>
        <w:rPr>
          <w:rFonts w:ascii="仿宋_GB2312" w:hAnsi="仿宋_GB2312" w:eastAsia="仿宋_GB2312"/>
          <w:b/>
          <w:sz w:val="32"/>
        </w:rPr>
        <w:t>与年初预算相比，</w:t>
      </w:r>
      <w:r>
        <w:rPr>
          <w:rFonts w:ascii="仿宋_GB2312" w:hAnsi="仿宋_GB2312" w:eastAsia="仿宋_GB2312"/>
          <w:b w:val="0"/>
          <w:sz w:val="32"/>
        </w:rPr>
        <w:t>年初预算数303.06万元，决算数270.14万元，预决算差异率-10.86%，主要原因是：本年在职人员减少，年中调减人员经费，导致预决算存在差异。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2024年度一般公共预算财政拨款支出270.14万元，</w:t>
      </w:r>
      <w:r>
        <w:rPr>
          <w:rFonts w:ascii="仿宋_GB2312" w:hAnsi="仿宋_GB2312" w:eastAsia="仿宋_GB2312"/>
          <w:b w:val="0"/>
          <w:sz w:val="32"/>
        </w:rPr>
        <w:t>占本年支出合计的85.86%。</w:t>
      </w:r>
      <w:r>
        <w:rPr>
          <w:rFonts w:ascii="仿宋_GB2312" w:hAnsi="仿宋_GB2312" w:eastAsia="仿宋_GB2312"/>
          <w:b/>
          <w:sz w:val="32"/>
        </w:rPr>
        <w:t>与上年相比，</w:t>
      </w:r>
      <w:r>
        <w:rPr>
          <w:rFonts w:ascii="仿宋_GB2312" w:hAnsi="仿宋_GB2312" w:eastAsia="仿宋_GB2312"/>
          <w:b w:val="0"/>
          <w:sz w:val="32"/>
        </w:rPr>
        <w:t>减少8.08万元，下降2.90%，主要原因是：本年在职人员减少，相关人员经费较上年减少。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年初预算数302.56万元，决算数270.14万元，预决算差异率-10.72%，主要原因是：本年在职人员减少，年中调减人员经费，导致预决算存在差异。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1.社会保障和就业支出(类)252.10万元,占93.32%。</w:t>
      </w:r>
    </w:p>
    <w:p>
      <w:pPr>
        <w:spacing w:line="580" w:lineRule="exact"/>
        <w:ind w:firstLine="640"/>
        <w:jc w:val="both"/>
      </w:pPr>
      <w:r>
        <w:rPr>
          <w:rFonts w:ascii="仿宋_GB2312" w:hAnsi="仿宋_GB2312" w:eastAsia="仿宋_GB2312"/>
          <w:b w:val="0"/>
          <w:sz w:val="32"/>
        </w:rPr>
        <w:t>2.卫生健康支出(类)6.25万元,占2.31%。</w:t>
      </w:r>
    </w:p>
    <w:p>
      <w:pPr>
        <w:spacing w:line="580" w:lineRule="exact"/>
        <w:ind w:firstLine="640"/>
        <w:jc w:val="both"/>
      </w:pPr>
      <w:r>
        <w:rPr>
          <w:rFonts w:ascii="仿宋_GB2312" w:hAnsi="仿宋_GB2312" w:eastAsia="仿宋_GB2312"/>
          <w:b w:val="0"/>
          <w:sz w:val="32"/>
        </w:rPr>
        <w:t>3.住房保障支出(类)11.79万元,占4.36%。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1.社会保障和就业支出(类)行政事业单位养老支出(款)事业单位离退休(项):支出决算数为2.02万元，比上年决算增加0.97万元，增长92.38%,主要原因是：本年增加退休人员基础绩效奖，退休费支出增加。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14.86万元，比上年决算增加0.92万元，增长6.60%,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4.72万元，比上年决算增加4.72万元，增长100.00%,主要原因是：本年补发2023年退休人员职业年金，导致经费增加。</w:t>
      </w:r>
    </w:p>
    <w:p>
      <w:pPr>
        <w:spacing w:line="580" w:lineRule="exact"/>
        <w:ind w:firstLine="640"/>
        <w:jc w:val="both"/>
      </w:pPr>
      <w:r>
        <w:rPr>
          <w:rFonts w:ascii="仿宋_GB2312" w:hAnsi="仿宋_GB2312" w:eastAsia="仿宋_GB2312"/>
          <w:b w:val="0"/>
          <w:sz w:val="32"/>
        </w:rPr>
        <w:t>4.社会保障和就业支出(类)社会福利(款)儿童福利(项):支出决算数为4.01万元，比上年决算减少2.95万元，下降42.39%,主要原因是：本年将孤儿集中至塔城市儿童福利院，导致经费减少。</w:t>
      </w:r>
    </w:p>
    <w:p>
      <w:pPr>
        <w:spacing w:line="580" w:lineRule="exact"/>
        <w:ind w:firstLine="640"/>
        <w:jc w:val="both"/>
      </w:pPr>
      <w:r>
        <w:rPr>
          <w:rFonts w:ascii="仿宋_GB2312" w:hAnsi="仿宋_GB2312" w:eastAsia="仿宋_GB2312"/>
          <w:b w:val="0"/>
          <w:sz w:val="32"/>
        </w:rPr>
        <w:t>5.社会保障和就业支出(类)社会福利(款)老年福利(项):支出决算数为0.78万元，比上年决算增加0.00万元，增长0.00%,主要原因是：90岁以上自费老人生活补助与上年一致，无变化。</w:t>
      </w:r>
    </w:p>
    <w:p>
      <w:pPr>
        <w:spacing w:line="580" w:lineRule="exact"/>
        <w:ind w:firstLine="640"/>
        <w:jc w:val="both"/>
      </w:pPr>
      <w:r>
        <w:rPr>
          <w:rFonts w:ascii="仿宋_GB2312" w:hAnsi="仿宋_GB2312" w:eastAsia="仿宋_GB2312"/>
          <w:b w:val="0"/>
          <w:sz w:val="32"/>
        </w:rPr>
        <w:t>6.社会保障和就业支出(类)社会福利(款)社会福利事业单位(项):支出决算数为188.74万元，比上年决算增加13.14万元，增长7.48%,主要原因是：本年在职人员工资调增，人员经费增加。</w:t>
      </w:r>
    </w:p>
    <w:p>
      <w:pPr>
        <w:spacing w:line="580" w:lineRule="exact"/>
        <w:ind w:firstLine="640"/>
        <w:jc w:val="both"/>
      </w:pPr>
      <w:r>
        <w:rPr>
          <w:rFonts w:ascii="仿宋_GB2312" w:hAnsi="仿宋_GB2312" w:eastAsia="仿宋_GB2312"/>
          <w:b w:val="0"/>
          <w:sz w:val="32"/>
        </w:rPr>
        <w:t>7.社会保障和就业支出(类)社会福利(款)养老服务(项):支出决算数为0.00万元，比上年决算减少10.00万元，下降100.00%,主要原因是：本年减少福利彩票公益金资助养老服务机构维修款项目。</w:t>
      </w:r>
    </w:p>
    <w:p>
      <w:pPr>
        <w:spacing w:line="580" w:lineRule="exact"/>
        <w:ind w:firstLine="640"/>
        <w:jc w:val="both"/>
      </w:pPr>
      <w:r>
        <w:rPr>
          <w:rFonts w:ascii="仿宋_GB2312" w:hAnsi="仿宋_GB2312" w:eastAsia="仿宋_GB2312"/>
          <w:b w:val="0"/>
          <w:sz w:val="32"/>
        </w:rPr>
        <w:t>8.社会保障和就业支出(类)特困人员救助供养(款)城市特困人员救助供养支出(项):支出决算数为2.86万元，比上年决算减少2.83万元，下降49.74%,主要原因是：城市集中特困供养人员较上年减少，导致支出减少。</w:t>
      </w:r>
    </w:p>
    <w:p>
      <w:pPr>
        <w:spacing w:line="580" w:lineRule="exact"/>
        <w:ind w:firstLine="640"/>
        <w:jc w:val="both"/>
      </w:pPr>
      <w:r>
        <w:rPr>
          <w:rFonts w:ascii="仿宋_GB2312" w:hAnsi="仿宋_GB2312" w:eastAsia="仿宋_GB2312"/>
          <w:b w:val="0"/>
          <w:sz w:val="32"/>
        </w:rPr>
        <w:t>9.社会保障和就业支出(类)特困人员救助供养(款)农村特困人员救助供养支出(项):支出决算数为30.80万元，比上年决算减少16.21万元，下降34.48%,主要原因是：农村集中特困供养人员较上年减少，导致支出减少。</w:t>
      </w:r>
    </w:p>
    <w:p>
      <w:pPr>
        <w:spacing w:line="580" w:lineRule="exact"/>
        <w:ind w:firstLine="640"/>
        <w:jc w:val="both"/>
      </w:pPr>
      <w:r>
        <w:rPr>
          <w:rFonts w:ascii="仿宋_GB2312" w:hAnsi="仿宋_GB2312" w:eastAsia="仿宋_GB2312"/>
          <w:b w:val="0"/>
          <w:sz w:val="32"/>
        </w:rPr>
        <w:t>10.社会保障和就业支出(类)其他生活救助(款)其他城市生活救助(项):支出决算数为0.30万元，比上年决算增加0.30万元，增长100.00%,主要原因是：增加城市集中特困供养人员一次性生活补贴。</w:t>
      </w:r>
    </w:p>
    <w:p>
      <w:pPr>
        <w:spacing w:line="580" w:lineRule="exact"/>
        <w:ind w:firstLine="640"/>
        <w:jc w:val="both"/>
      </w:pPr>
      <w:r>
        <w:rPr>
          <w:rFonts w:ascii="仿宋_GB2312" w:hAnsi="仿宋_GB2312" w:eastAsia="仿宋_GB2312"/>
          <w:b w:val="0"/>
          <w:sz w:val="32"/>
        </w:rPr>
        <w:t>11.社会保障和就业支出(类)其他生活救助(款)其他农村生活救助(项):支出决算数为3.00万元，比上年决算增加3.00万元，增长100.00%,主要原因是：增加农村集中特困供养人员一次性生活补贴。</w:t>
      </w:r>
    </w:p>
    <w:p>
      <w:pPr>
        <w:spacing w:line="580" w:lineRule="exact"/>
        <w:ind w:firstLine="640"/>
        <w:jc w:val="both"/>
      </w:pPr>
      <w:r>
        <w:rPr>
          <w:rFonts w:ascii="仿宋_GB2312" w:hAnsi="仿宋_GB2312" w:eastAsia="仿宋_GB2312"/>
          <w:b w:val="0"/>
          <w:sz w:val="32"/>
        </w:rPr>
        <w:t>12.卫生健康支出(类)行政事业单位医疗(款)事业单位医疗(项):支出决算数为6.25万元，比上年决算减少0.05万元，下降0.79%,主要原因是：本年在职人员减少，事业单位医疗缴费支出减少。</w:t>
      </w:r>
    </w:p>
    <w:p>
      <w:pPr>
        <w:spacing w:line="580" w:lineRule="exact"/>
        <w:ind w:firstLine="640"/>
        <w:jc w:val="both"/>
      </w:pPr>
      <w:r>
        <w:rPr>
          <w:rFonts w:ascii="仿宋_GB2312" w:hAnsi="仿宋_GB2312" w:eastAsia="仿宋_GB2312"/>
          <w:b w:val="0"/>
          <w:sz w:val="32"/>
        </w:rPr>
        <w:t>13.住房保障支出(类)住房改革支出(款)住房公积金(项):支出决算数为11.79万元，比上年决算增加0.90万元，增长8.26%,主要原因是：本年在职人员工资基数调增，公积金缴费基数上涨，相应支出增加。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2024年度一般公共预算财政拨款基本支出228.38万元，其中：</w:t>
      </w:r>
      <w:r>
        <w:rPr>
          <w:rFonts w:ascii="仿宋_GB2312" w:hAnsi="仿宋_GB2312" w:eastAsia="仿宋_GB2312"/>
          <w:b/>
          <w:sz w:val="32"/>
        </w:rPr>
        <w:t>人员经费169.65万元，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包括：基本工资、津贴补贴、奖金、绩效工资、机关事业单位基本养老保险缴费、职业年金缴费、职工基本医疗保险缴费、其他社会保障缴费、住房公积金、其他工资福利支出、退休费、医疗费补助、奖励金。</w:t>
      </w:r>
    </w:p>
    <w:p>
      <w:pPr>
        <w:spacing w:line="580" w:lineRule="exact"/>
        <w:ind w:firstLine="640"/>
        <w:jc w:val="both"/>
      </w:pPr>
      <w:r>
        <w:rPr>
          <w:rFonts w:ascii="仿宋_GB2312" w:hAnsi="仿宋_GB2312" w:eastAsia="仿宋_GB2312"/>
          <w:b/>
          <w:sz w:val="32"/>
        </w:rPr>
        <w:t>公用经费58.73万元，</w:t>
      </w:r>
      <w:r>
        <w:rPr>
          <w:rFonts w:ascii="仿宋_GB2312" w:hAnsi="仿宋_GB2312" w:eastAsia="仿宋_GB2312"/>
          <w:b w:val="0"/>
          <w:sz w:val="32"/>
        </w:rPr>
        <w:t>包括：办公费、水费、电费、邮电费、取暖费、差旅费、维修（护）费、工会经费、公务用车运行维护费。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减少46.48万元，下降100.00%，主要原因是：本年将政府基金（福利彩票公益金）资助养老机构政府购买服务项目，孤残儿童护理补贴、福彩圆梦孤儿助学金及设备购置项目调整至民政局实施，导致经费减少。</w:t>
      </w:r>
      <w:r>
        <w:rPr>
          <w:rFonts w:ascii="仿宋_GB2312" w:hAnsi="仿宋_GB2312" w:eastAsia="仿宋_GB2312"/>
          <w:b/>
          <w:sz w:val="32"/>
        </w:rPr>
        <w:t>与年初预算相比，</w:t>
      </w:r>
      <w:r>
        <w:rPr>
          <w:rFonts w:ascii="仿宋_GB2312" w:hAnsi="仿宋_GB2312" w:eastAsia="仿宋_GB2312"/>
          <w:b w:val="0"/>
          <w:sz w:val="32"/>
        </w:rPr>
        <w:t>年初预算数0.50万元，决算数0.00万元，预决算差异率-100.00%，主要原因是：本年将政府基金（福利彩票公益金）资助养老机构政府购买服务项目，孤残儿童护理补贴、福彩圆梦孤儿助学金及设备购置项目调整至民政局实施，导致预决算差异。</w:t>
      </w:r>
    </w:p>
    <w:p>
      <w:pPr>
        <w:spacing w:line="580" w:lineRule="exact"/>
        <w:ind w:firstLine="640"/>
        <w:jc w:val="both"/>
      </w:pPr>
      <w:r>
        <w:rPr>
          <w:rFonts w:ascii="仿宋_GB2312" w:hAnsi="仿宋_GB2312" w:eastAsia="仿宋_GB2312"/>
          <w:b w:val="0"/>
          <w:sz w:val="32"/>
        </w:rPr>
        <w:t>政府性基金预算财政拨款支出0.00万元。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0.00万元，比上年决算减少46.48万元，下降100.00%,主要原因是：本年将政府基金（福利彩票公益金）资助养老机构政府购买服务项目，孤残儿童护理补贴、福彩圆梦孤儿助学金及设备购置项目调整至民政局实施，导致经费减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2024年度财政拨款“三公”经费支出0.64万元，</w:t>
      </w:r>
      <w:r>
        <w:rPr>
          <w:rFonts w:ascii="仿宋_GB2312" w:hAnsi="仿宋_GB2312" w:eastAsia="仿宋_GB2312"/>
          <w:b w:val="0"/>
          <w:sz w:val="32"/>
        </w:rPr>
        <w:t>比上年增加0.35万元，增长120.69%，主要原因是：本单位公务用车日渐老化，维修维护成本增加，导致公务用车运行维护费较上年增加。</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公务用车购置及运行维护费支出0.64万元，占100.00%，比上年增加0.35万元，增长120.69%，主要原因是：本单位公务用车日渐老化，维修维护成本增加，导致公务用车运行维护费较上年增加。</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0.64万元，其中：公务用车购置费0.00万元，公务用车运行维护费0.64万元。公务用车运行维护费开支内容包括车辆维修费、保险费。公务用车购置数0辆，公务用车保有量1辆。国有资产占用情况中固定资产车辆0辆，与公务用车保有量差异原因是：借用民政局车辆，车辆费用由本单位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2.00万元，决算数0.64万元，预决算差异率-68.00%，主要原因是：严格落实中央八项规定精神，厉行节约，减少公务用车使用频次，燃油费减少。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2.00万元，决算数0.64万元，预决算差异率-68.00%，主要原因是：严格落实中央八项规定精神，厉行节约，减少公务用车使用频次，燃油费减少。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2024年度裕民县社会福利院（事业单位）公用经费支出58.73万元，比上年增加0.84万元，增长1.45%，主要原因是：本年购置车辆雪地胎、维护补充办公用品，导致经费增加。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2024年度政府采购支出总额5.35万元，其中：政府采购货物支出3.52万元、政府采购工程支出0.00万元、政府采购服务支出1.83万元。</w:t>
      </w:r>
    </w:p>
    <w:p>
      <w:pPr>
        <w:spacing w:line="580" w:lineRule="exact"/>
        <w:ind w:firstLine="640"/>
        <w:jc w:val="both"/>
      </w:pPr>
      <w:r>
        <w:rPr>
          <w:rFonts w:ascii="仿宋_GB2312" w:hAnsi="仿宋_GB2312" w:eastAsia="仿宋_GB2312"/>
          <w:b w:val="0"/>
          <w:sz w:val="32"/>
        </w:rPr>
        <w:t>授予中小企业合同金额5.35万元，占政府采购支出总额的100.00%，其中：授予小微企业合同金额5.35万元，占政府采购支出总额的100.00%。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811.37平方米，价值105.50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366.23万元，实际执行总额314.63万元；预算绩效评价项目3个，全年预算数41.76万元，全年执行数41.76万元。预算绩效管理取得的成效：一是所属项目的资金使用严格遵循了国家相关法律法规与财务制度，确保了资金的合规性与安全性。在资金使用过程中，我们建立了完善的财务管理体系，对资金的流动进行了全程记录。二是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三是项目资金使用的合规性、安全性，既符合国家相关法律法规与财务制度的要求，又满足了项目实施的实际需要。资金使用的合规性为项目的成功实施提供了有力的保障，也为项目的绩效评价奠定了坚实的基础。发现的问题及原因：1.项目工作分工不明确，落实不到位。 2.项目资金的下达没有明确科室负责，在项目资金实施时给财务人员造成很大的困扰。下一步改进措施：1.完善预算绩效管理制度，明确岗位职责，完善人员岗位责任制、财务管理制度以及绩效评价制度等内容，充分实现工作目标，按照绩效制度要求，针对具体的分工、职责划分管理制度进行全面有效的健全和完善，充分有效发挥绩效评价制度的优势和作用。 2.增强预算绩效管理的理念，多管齐下宣讲预算绩效管理相关政策，重视绩效预算管理工作，建立预算管路的氛围文化，领导要带头重视，相关科室协调参与，明确科室责任，增强工作人员和领导的绩效管理意识。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裕民县社会福利院</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380.16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366.23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314.63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85.91%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其中:上级安排资金：（万元）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43.56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39.14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39.14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259.51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282.60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233.18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77.09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44.49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42.31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1、保障单位10人的工资、社保、公积金及生活补助等支出的正常发放，促进塔城地区社会福利事业的发展，提升塔城地区基层治理能力和为民服务能力” 2、保障机关正常运转，完成单位日常工作。</w:t>
              <w:br/>
              <w:br/>
              <w:t>3、项目支出主要用于儿童福利生活费、特困供养、双集中人员生活补助单位运转经费等以提高人民群众的幸福感和获得感。完善基本民生保障体系，精准覆盖民政目标群体，对符合条件的困难群众救助对象“应救尽救”，使困难群众基本生活得到有效保障；积极推进孤残儿童“补贴制度落实，保障孤残儿童生存发展权益，提高孤儿生活质量；解决90周岁以上老年人基本生活困难，提高生活和生命质量；推动社会福利事业高质量发展。</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2024年裕民县社会福利院全年履职尽责，保障机关正常运转，顺利完成了单位日常工作，正常发放单位8人的工资、社保、公积金及生活补助等支出，促进塔城地区社会福利事业的发展，提升了塔城地区基层治理能力和为民服务能力”。项目支出主要用于儿童福利生活费、特困供养、双集中人员生活补助单位运转经费等以提高人民群众的幸福感和获得感。完善了基本民生保障体系，精准覆盖民政目标群体，对符合条件的困难群众救助对象“应救尽救”，使困难群众基本生活得到有效保障；积极推进孤残儿童“补贴制度落实，保障了特困老人及孤残儿童生存发展权益，提高了特困人员生活质量；解决了90周岁以上老年人基本生活困难，提高生活和生命质量；努力推动社会福利事业高质量发展。</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保障供养人员人数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&gt;=33人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2024年度工作计划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33人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保障孤儿人数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2024年度工作计划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保障护理人员人数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&gt;=13人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2024年度工作计划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开展护理员专业培训场次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2024年度工作计划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供养人员经费发放率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2024年度工作计划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护理人员经费发放率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2024年度工作计划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2024年困难群众救助补助资金（集中供养人员生活补助）</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裕民县民政局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裕民县社会福利院</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56.14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37.68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37.68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56.14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37.68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37.68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2024年困难群众救助补助资金（集中供养人员生活补助）项目2024年计划投入56.14万元，用于补助集中供养老人30人、集中供养儿童3人，经过该项目的实施达到保障集中供养人员基本生活的效益。</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困难群众救助补助资金（集中供养人员生活补助）项目年初预算数56.14万元，资金到位数：37.68万元，其中集中供养孤儿生活补助：4.02万元，集中供养特困老人生活补助：33.66万元，截至2024年12月31日，已经支付37.68万元，项目按照计划正常实行，资金用于补助集中供养老人33人（生活补助标准1035元/人/月）、集中供养儿童3人（生活补助标准1610元/人/月），经过该项目的实施达到保障集中供养人员基本生活的效益。保障特困人员的基本生活，让他们在社会福利院快乐生活，提供良好的生活环境，让弱势群体感受到党和国家的温暖，安度晚年。</w:t>
              <w:br/>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享受生活补助的五保户和三无人员人数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享受儿童补助人数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五保户和三无人员生活补助资金使用合格率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儿童生活补助资金使用合格率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=12个月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12个月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五保户和三无人员生活补助经费保障时长</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=12个月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12个月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五保户和三无人员生活补助标准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=1035元/人/月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1035元/人/月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1035元/人/月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儿童生活补助标准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=1610元/人/月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1610元/人/月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1610元/人/月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保障集中供养人员基本生活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显著提升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显著提升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五保户和三无人员及儿童满意度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90岁以上自费老人生活费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裕民县民政局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裕民县社会福利院</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0.78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0.78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0.78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0.78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0.78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0.78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裕民县社会福利院认真贯彻实施为民办实事服务，切实开展高龄补贴专项发放工作，努力解决群众关注热点、难点问题，促进民政部门“以民为本、为民解困、为民服务”工作宗旨的落实。2024年自治区彩票公益金资助90岁以上自费老年人基本生活津贴项目资金为0.78万元。90岁以上自费老人1人，650元/人/月，一年老人补助资金7800元，根据文件要求专款专用，有专人负责，资金用于老人生活费用。</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裕民县社会福利院90岁以上自费老人生活补助预算数为0.78万元，实际支出0.78万元，执行率100%，生活补助标准650元/人/月。</w:t>
              <w:br/>
              <w:t>社会福利院90岁以上自费老人生活补助主要用于自费老人吃、住、护理、日用品等费用支出。</w:t>
              <w:br/>
              <w:t>老人生活补助有效保障老人基本生活，提高生活质量，满足了最基本的生存需求，同时，让弱势群体感受到党和国家的温暖，安度晚年。</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享受生活补助90岁以上自费老人人数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自费老人生活补助资金使用合格率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自费老人生活补助经费保障时长</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=12个月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12个月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90岁以上自费老人生活补助标准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=0.78万元/人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=0.78万元/人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0.78万元/人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保障高龄自费老人基本生活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显著提升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显著提升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90岁以上自费老人满意度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中央困难群众救助资金（农村、城市特困人员一次性生活补助）</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裕民县民政局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裕民县社会福利院</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3.30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3.30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3.30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3.30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根据国务院《社会救助暂行办法》，为 落实好自治区党委关于“力争到2024年有意愿的孤儿全部实现集中供养”的重要部署，切实为老人提供多元化全方位的服务，同时给老人们营造一个舒适的生活环境，让他们感觉到国家对弱势群体的关心、关怀是十分必要的。此项资金用于特困老人基本生活保障费，五保户和三无人员1000元/人/年，33人，共3.3万元，资金主要用于老人的生活费用、交通费用及外出活动开支，通过资金的使用，提高特困人员生活条件，让他们能够更快的适应社会生活，让他们懂得感恩社会，回报社会，在以后的步入社会之时做一个德、智、体全面发展的有用人才。让他们感觉到国家对弱势群体的关心、关怀，感觉到党和国家政策的优越性。</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根据塔地财社［2024]45号文件，为了更好做好困难群众救助工作，下达的困难群众救助补助资金统筹用于人员供养、特困老人的基本生活保障支出，2024年社会福利院发放集中供养农村特困五保户和城市特困三无人员一次性生活补助中央资金：3.3万元，特困老人33人，1000元/人/年，资金主要用于特困人员吃、住、就医支出，资金发放给本人，目的是给弱势群体提供舒适的生活环境、让他们感受到国家对弱势群体的关怀。</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集中供养特困老人人数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集中供养老人生活补助覆盖率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特困老人生活补助发放及时率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救助资金发放时间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=2024年9月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2024年9月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2024年9月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集中供养老人一次性生活补助标准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保障集中供养人员基本生活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显著提升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显著提升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显著提升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特困老人满意度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