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40" w:lineRule="exact"/>
        <w:ind w:firstLine="736" w:firstLineChars="230"/>
        <w:jc w:val="left"/>
        <w:rPr>
          <w:rFonts w:hint="eastAsia" w:ascii="仿宋" w:hAnsi="仿宋" w:eastAsia="仿宋" w:cs="宋体"/>
          <w:kern w:val="0"/>
          <w:sz w:val="32"/>
          <w:szCs w:val="32"/>
        </w:rPr>
      </w:pPr>
    </w:p>
    <w:p>
      <w:pPr>
        <w:spacing w:line="540" w:lineRule="exact"/>
        <w:ind w:firstLine="736" w:firstLineChars="230"/>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项目名称：基本公共卫生补助资金</w:t>
      </w:r>
    </w:p>
    <w:p>
      <w:pPr>
        <w:spacing w:line="700" w:lineRule="exact"/>
        <w:ind w:firstLine="720" w:firstLineChars="200"/>
        <w:jc w:val="left"/>
        <w:rPr>
          <w:rFonts w:hint="eastAsia" w:hAnsi="宋体" w:eastAsia="仿宋_GB2312" w:cs="宋体"/>
          <w:kern w:val="0"/>
          <w:sz w:val="36"/>
          <w:szCs w:val="36"/>
        </w:rPr>
      </w:pPr>
      <w:r>
        <w:rPr>
          <w:rFonts w:hint="eastAsia" w:hAnsi="宋体" w:eastAsia="仿宋_GB2312" w:cs="宋体"/>
          <w:kern w:val="0"/>
          <w:sz w:val="36"/>
          <w:szCs w:val="36"/>
        </w:rPr>
        <w:t xml:space="preserve"> 实施单位（公章）：裕民县牧业医院</w:t>
      </w:r>
    </w:p>
    <w:p>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主管部门（公章）：裕民县牧业医院</w:t>
      </w:r>
    </w:p>
    <w:p>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项目负责人（签章）：安赛</w:t>
      </w:r>
    </w:p>
    <w:p>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填报时间：2025年04月24日</w:t>
      </w:r>
    </w:p>
    <w:p>
      <w:pPr>
        <w:spacing w:line="540" w:lineRule="exact"/>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（一）项目概况</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基本公共卫生服务项目是促进基本公共卫生服务逐步均等化的重要内容，是深化医药卫生体制改革的重要工作。是我县政府针对当前城乡居民存在的主要健康问题，以儿童、孕产妇、老年人、慢性疾病患者为重点人群，面向全体居民免费提供的最基本公共卫生服务。</w:t>
      </w:r>
    </w:p>
    <w:p>
      <w:pPr>
        <w:spacing w:line="540" w:lineRule="exact"/>
        <w:ind w:left="638" w:leftChars="304" w:firstLine="0" w:firstLineChars="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2.项目主要内容：</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主要内容：目前，基本公共卫生服务项目有14项内容，即：1建立居民健康档案；2健康教育；3预防接种；4传染病及突发公共卫生事件报告处理；5肺结核患者健康管理；6儿童保健；7孕产妇保健；8老年人保健；9糖尿病患者管理；10高血压患者管理；11严重精神障碍患者管理；12卫生监督协管；13中医药健康服务；14家庭医生签约。</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实施情况：本项目于2024年1月开始实施，截至2024年12月，该项目已实施完成1建立居民健康档案；2健康教育；3预防接种；4传染病及突发公共卫生事件报告处理；5肺结核患者健康管理；6儿童保健；7孕产妇保健；8老年人保健；9糖尿病患者管理；10高血压患者管理；11严重精神障碍患者管理；12卫生监督协管；13中医药健康服务；14家庭医生签约。通过本项目的实施，有效保障受益群众基本生活，提升了群众对传染病的认识，增强了传染病防控意识。</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3.资金投入和使用情况</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（1）资金投入情况</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该项目年初预算数5.43万元，全年预算数54.18万元，该项目资金已全部落实到位，资金来源为财政拨款。</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（2）资金使用情况</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该项目年初预算数5.43万元，全年预算数54.18万元，全年执行数54.18万元，预算执行率为100%，主要用于：支付商品和服务支出费用54.18万元。</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1.总体目标</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2024年基本公共卫生服务补助资金项目年初预算5.43万元，全年执行数54.18万元，</w:t>
      </w:r>
      <w:r>
        <w:rPr>
          <w:rStyle w:val="19"/>
          <w:rFonts w:hint="eastAsia" w:ascii="楷体" w:hAnsi="楷体" w:eastAsia="楷体"/>
          <w:b w:val="0"/>
          <w:bCs w:val="0"/>
          <w:spacing w:val="-4"/>
          <w:sz w:val="32"/>
          <w:szCs w:val="32"/>
          <w:lang w:eastAsia="zh-CN"/>
        </w:rPr>
        <w:t>截至</w:t>
      </w:r>
      <w:r>
        <w:rPr>
          <w:rStyle w:val="19"/>
          <w:rFonts w:hint="eastAsia" w:ascii="楷体" w:hAnsi="楷体" w:eastAsia="楷体"/>
          <w:b w:val="0"/>
          <w:bCs w:val="0"/>
          <w:spacing w:val="-4"/>
          <w:sz w:val="32"/>
          <w:szCs w:val="32"/>
        </w:rPr>
        <w:t>2024年12月25日支付54.18万元，该项目计划该项目计划1.孕产妇及0-6岁儿童体检管理率；2.健康教育讲座；3.高血压患者规范管理率；4糖尿病患者规范管理率；5.适龄儿童国家免疫规划疫苗接种率；6.老年人健康管理率；通过项目的实施，对全乡居民健康问题实施干预，减少主要健康危害因素，减少居民的患病几率，有效预防和控制传染病及慢性非传染性疾病，加强突发公共卫生事件应急机制建设，提高基本公共项目和突发公共卫生事件应急处置能力，全乡居民逐步获得均等化的基本公共项目服务，主要健康危险因素得到有效控制，全乡居民健康水平得到提高 。</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阶段性目标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2024年12月31日之前我单位完成了健康教育讲座13期，公众咨询次数4次、高血压规范管理率83.24%、Ⅱ型糖尿病规范管理率83.19%，严重精神障碍患者规范管理率95.83%，老年人健康管理率70%，中医药健康管理率81.14%，家庭医生签约人数7945人，通过各项工作的开展提高了辖区居民综合知晓率，获得了较高的居民满意度。</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1.绩效评价完整性</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2.绩效评价的目的</w:t>
      </w:r>
    </w:p>
    <w:p>
      <w:pPr>
        <w:spacing w:line="540" w:lineRule="exact"/>
        <w:ind w:left="313" w:leftChars="149"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（1）评估项目实施效果</w:t>
      </w:r>
    </w:p>
    <w:p>
      <w:p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通过对项目预算执行情况及各项绩效目标达成程度的系统性分析，全面、客观地评估项目在预定周期内的实施效果，包括社会效益等多维度指标，为项目后续的改进与优化提供科学依据。</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（2）提升资源利用效率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（3）强化项目管理责任</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（4）为决策提供支持</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（5）促进项目持续改进</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cr/>
      </w:r>
      <w:r>
        <w:rPr>
          <w:rStyle w:val="19"/>
          <w:rFonts w:hint="eastAsia" w:ascii="楷体" w:hAnsi="楷体" w:eastAsia="楷体"/>
          <w:b w:val="0"/>
          <w:bCs w:val="0"/>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3.绩效评价的对象</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预算绩效评价报告的评价对象是基本公共卫生服务补助资金项目及其预算执行情况。该项目由裕民县牧业医院负责实施，旨在通过对1建立居民健康档案；2健康教育；3预防接种；4传染病及突发公共卫生事件报告处理；5肺结核患者健康管理；6儿童保健；7孕产妇保健；8老年人保健；9糖尿病患者管理；10高血压患者管理；11严重精神障碍患者管理；12卫生监督协管；13中医药健康服务；14家庭医生签约的宣传，对全乡居民健康问题实施干预，减少主要健康危害因素，减少居民的患病几率，有效预防和控制传染病及慢性非传染性疾病，加强突发公共卫生事件应急机制建设，提高基本公共项目和突发公共卫生事件应急处置能力，全乡居民逐步获得均等化的基本公共项目服务，主要健康危险因素得到有效控制，全乡居民健康水平得到进一步提高。项目预算涵盖从2024年1月至2024年12月的全部资金投入与支出，涉及资金总额为54.18万元。</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4.绩效评价的范围</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本项目预算绩效评价报告的评价范围广泛而全面，涵盖了从项目立项至评价时点期间的所有关键预算活动和财务流程。具体而言，评价范围包括但不限于以下几个方面：</w:t>
      </w:r>
      <w:r>
        <w:cr/>
      </w:r>
      <w:r>
        <w:rPr>
          <w:rStyle w:val="19"/>
          <w:rFonts w:hint="eastAsia" w:ascii="楷体" w:hAnsi="楷体" w:eastAsia="楷体"/>
          <w:b w:val="0"/>
          <w:bCs w:val="0"/>
          <w:spacing w:val="-4"/>
          <w:sz w:val="32"/>
          <w:szCs w:val="32"/>
        </w:rPr>
        <w:t>项目预算编制与执行：全面审视项目预算的编制依据、合理性、科学性以及实际执行情况，包括预算调整的原因和效果。</w:t>
      </w:r>
      <w:r>
        <w:cr/>
      </w:r>
      <w:r>
        <w:rPr>
          <w:rStyle w:val="19"/>
          <w:rFonts w:hint="eastAsia" w:ascii="楷体" w:hAnsi="楷体" w:eastAsia="楷体"/>
          <w:b w:val="0"/>
          <w:bCs w:val="0"/>
          <w:spacing w:val="-4"/>
          <w:sz w:val="32"/>
          <w:szCs w:val="32"/>
        </w:rPr>
        <w:t>资金管理：深入分析项目资金的分配、使用和监管情况，确保资金使用的合规性、高效性和透明度。</w:t>
      </w:r>
      <w:r>
        <w:cr/>
      </w:r>
      <w:r>
        <w:rPr>
          <w:rStyle w:val="19"/>
          <w:rFonts w:hint="eastAsia" w:ascii="楷体" w:hAnsi="楷体" w:eastAsia="楷体"/>
          <w:b w:val="0"/>
          <w:bCs w:val="0"/>
          <w:spacing w:val="-4"/>
          <w:sz w:val="32"/>
          <w:szCs w:val="32"/>
        </w:rPr>
        <w:t>项目实施进度与产出：评估项目是否按照既定计划顺利推进，各项任务是否按时完成，以及项目产出的数量、质量和时效性是否符合预期。</w:t>
      </w:r>
    </w:p>
    <w:p>
      <w:pPr>
        <w:spacing w:line="540" w:lineRule="exact"/>
        <w:ind w:firstLine="593" w:firstLineChars="200"/>
        <w:rPr>
          <w:rStyle w:val="19"/>
          <w:rFonts w:ascii="楷体" w:hAnsi="楷体" w:eastAsia="楷体"/>
          <w:b/>
          <w:bCs/>
          <w:spacing w:val="-6"/>
          <w:w w:val="96"/>
          <w:sz w:val="32"/>
          <w:szCs w:val="32"/>
        </w:rPr>
      </w:pPr>
      <w:r>
        <w:rPr>
          <w:rStyle w:val="19"/>
          <w:rFonts w:hint="eastAsia" w:ascii="楷体" w:hAnsi="楷体" w:eastAsia="楷体"/>
          <w:b/>
          <w:bCs/>
          <w:spacing w:val="-6"/>
          <w:w w:val="96"/>
          <w:sz w:val="32"/>
          <w:szCs w:val="32"/>
        </w:rPr>
        <w:t>（二）绩效评价原则、评价指标体系、评价方法、评价标准</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本次项目绩效评价遵循以下基本原则：</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（1）科学公正。绩效评价应当运用科学合理的方法，按照规范的程序，对项目绩效进行客观、公正的反映。</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（4）公开透明。绩效评价结果应依法依规公开，并自觉接受社会监督。</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2.评价指标体系</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绩效评价框架是开展绩效评价的核心。绩效评价框架包括评价准则、关键评价问题、评价指标、数据来源、数据收集方法等。指标体系建立过程如下：</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（1）确定评价指标</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（2）确定权重</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确定各个指标相对于项目总体绩效的权重分值。在绩效评价指标体系中，项目决策权重为20分，项目过程权重为20分，项目产出权重为40分，项目效益权重为20分。</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（3）确定指标标准值</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指标标准值是绩效评价指标的尺度，既要反映同类项目的先进水平，又要符合项目的实际绩效水平。具体采用计划标准等确定此次绩效评价指标标准值。</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绩效评价总分值100分，根据综合评分结果，90（含）-100分为优、80（含）-90分为良、60（含）-80分为中、60分以下为差。</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具体评价指标体系详情见附件1</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3.绩效评价方法</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绩效评价从项目决策、项目过程、项目产出、项目效益四个维度进行评价。评价对象为项目目标实施情况，评价核心为资金的支出完成情况和项目的产出效益。</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本次评价指标中，既有定性指标又有定量指标，各类指标因考核内容不同和客观标准不同存在较大差异，因此核定具体指标时采用了不同方法，具体评价方法如下：</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（一）因素分析法。是指综合分析影响绩效目标实现、实施效果的内外部因素的方法。</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4.评价标准</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绩效评价标准通常包括计划标准、行业标准、历史标准等，用于对绩效指标完成情况进行比较、分析、评价。本次评价主要采用了计划标准。</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（1）计划标准。指以预先制定的目标、计划、预算、定额等作为评价标准。</w:t>
      </w:r>
    </w:p>
    <w:p>
      <w:pPr>
        <w:spacing w:line="540" w:lineRule="exact"/>
        <w:ind w:firstLine="627" w:firstLineChars="200"/>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（1）前期准备与规划</w:t>
      </w:r>
    </w:p>
    <w:p>
      <w:pPr>
        <w:spacing w:line="540" w:lineRule="exact"/>
        <w:ind w:firstLine="624" w:firstLineChars="200"/>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在项目绩效评价工作启动之初，成立了专门的评价工作小组，小组成员由单位负责人、财务人员、项目管理专业人员及相关人员组成，确保从多角度、全方位对项目绩效进行评价。同时，明确了评价工作的目标、范围、重点及时间安排，制定了详细的工作计划，为评价工作的顺利开展奠定了坚实基础</w:t>
      </w:r>
      <w:r>
        <w:rPr>
          <w:rStyle w:val="19"/>
          <w:rFonts w:hint="eastAsia" w:ascii="楷体" w:hAnsi="楷体" w:eastAsia="楷体"/>
          <w:b w:val="0"/>
          <w:bCs w:val="0"/>
          <w:spacing w:val="-4"/>
          <w:sz w:val="32"/>
          <w:szCs w:val="32"/>
          <w:lang w:eastAsia="zh-CN"/>
        </w:rPr>
        <w:t>。</w:t>
      </w:r>
    </w:p>
    <w:p>
      <w:pPr>
        <w:numPr>
          <w:ilvl w:val="0"/>
          <w:numId w:val="0"/>
        </w:num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lang w:val="en-US" w:eastAsia="zh-CN"/>
        </w:rPr>
        <w:t>2</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指标体系构建</w:t>
      </w:r>
    </w:p>
    <w:p>
      <w:pPr>
        <w:numPr>
          <w:ilvl w:val="0"/>
          <w:numId w:val="0"/>
        </w:num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p>
    <w:p>
      <w:pPr>
        <w:numPr>
          <w:ilvl w:val="0"/>
          <w:numId w:val="0"/>
        </w:num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（3）数据收集与整理</w:t>
      </w:r>
    </w:p>
    <w:p>
      <w:pPr>
        <w:numPr>
          <w:ilvl w:val="0"/>
          <w:numId w:val="0"/>
        </w:numPr>
        <w:spacing w:line="540" w:lineRule="exact"/>
        <w:ind w:firstLine="624" w:firstLineChars="200"/>
        <w:rPr>
          <w:rStyle w:val="19"/>
          <w:rFonts w:hint="eastAsia" w:ascii="楷体" w:hAnsi="楷体" w:eastAsia="楷体"/>
          <w:b w:val="0"/>
          <w:bCs w:val="0"/>
          <w:spacing w:val="-6"/>
          <w:w w:val="96"/>
          <w:sz w:val="32"/>
          <w:szCs w:val="32"/>
        </w:rPr>
      </w:pPr>
      <w:r>
        <w:rPr>
          <w:rStyle w:val="19"/>
          <w:rFonts w:hint="eastAsia" w:ascii="楷体" w:hAnsi="楷体" w:eastAsia="楷体"/>
          <w:b w:val="0"/>
          <w:bCs w:val="0"/>
          <w:spacing w:val="-4"/>
          <w:sz w:val="32"/>
          <w:szCs w:val="32"/>
        </w:rPr>
        <w:t>广泛收集与项目相关的各类数据，包括财务报表、项目文档、业务数据等。在数据收集过程中，注重数据的质量与完整性，对缺失或异常的数据进行了合理的处理和补充。随后，对收集到的</w:t>
      </w:r>
      <w:r>
        <w:rPr>
          <w:rStyle w:val="19"/>
          <w:rFonts w:hint="eastAsia" w:ascii="楷体" w:hAnsi="楷体" w:eastAsia="楷体"/>
          <w:b w:val="0"/>
          <w:bCs w:val="0"/>
          <w:spacing w:val="-6"/>
          <w:w w:val="96"/>
          <w:sz w:val="32"/>
          <w:szCs w:val="32"/>
        </w:rPr>
        <w:t>数据进行了系统的整理与分类，为后续的数据分析提供了有力支持。</w:t>
      </w:r>
    </w:p>
    <w:p>
      <w:pPr>
        <w:numPr>
          <w:ilvl w:val="0"/>
          <w:numId w:val="1"/>
        </w:num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数据分析与评估</w:t>
      </w:r>
    </w:p>
    <w:p>
      <w:pPr>
        <w:numPr>
          <w:ilvl w:val="0"/>
          <w:numId w:val="0"/>
        </w:num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（5）报告撰写与反馈</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numPr>
          <w:ilvl w:val="0"/>
          <w:numId w:val="0"/>
        </w:num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（6）后续跟踪与改进</w:t>
      </w:r>
    </w:p>
    <w:p>
      <w:pPr>
        <w:numPr>
          <w:ilvl w:val="0"/>
          <w:numId w:val="0"/>
        </w:num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（一）评价情况</w:t>
      </w:r>
    </w:p>
    <w:p>
      <w:p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本项目的综合评价基于对项目各方面绩效的深入分析与评估。从项目目标的达成情况来看，2024年基本公共卫生服务补助资金在1建立居民健康档案；2健康教育；3预防接种；4传染病及突发公共卫生事件报告处理；5肺结核患者健康管理；6儿童保健；7孕产妇保健；8老年人保健；9糖尿病患者管理；10高血压患者管理；11严重精神障碍患者管理；12卫生监督协管；13中医药健康服务；14家庭医生签约的宣传等方面表现出色，达到了预期的标准与要求。</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在项目管理方面，裕民县牧业医院通过有效的规划、组织与协调，项目得以顺利实施，并在预算与时间上保持了良好的控制。</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从项目效益的角度来看，本项目不仅实现了预期的社会效益产生了积极的影响。具体而言，公共卫生均等化水平提高等方面的提升，为项目的利益相关者带来了实实在在的利益。</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综上所述，2024年基本公共卫生服务补助资金在绩效评价中表现出色，达到了项目的预期目标，并在多个方面取得了显著的成效。</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（二）评价结论</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 99.43分，属于“优”。其中，项目决策类指标权重为20分，得分为 20分，得分率为 100%。项目过程类指标权重为20分，得分为19.57分，得分率为 100%。项目产出类指标权重为40分，得分为40分，得分率为100%。项目效益类指标权重为20分，得分为20分，得分率为100%。具体打分情况详见：附件1综合评分表。</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表1综合评分表</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一级指标</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权重分</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得分</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得分率</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 xml:space="preserve">   </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项目决策</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 xml:space="preserve">   </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项目过程</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 xml:space="preserve">   </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项目产出</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40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40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 xml:space="preserve">   </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项目效益</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 xml:space="preserve">   </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合计</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 xml:space="preserve"> </w:t>
      </w:r>
    </w:p>
    <w:p>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（一）项目决策情况</w:t>
      </w:r>
    </w:p>
    <w:p>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项目决策类指标包括项目立项、绩效目标和资金投入三方面的内容，由6个三级指标构成，权重分值为20分，实际得分20分，得分率为100%。</w:t>
      </w:r>
    </w:p>
    <w:p>
      <w:pPr>
        <w:tabs>
          <w:tab w:val="center" w:pos="4295"/>
        </w:tabs>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1.项目立项</w:t>
      </w:r>
    </w:p>
    <w:p>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（1）立项依据充分性</w:t>
      </w:r>
    </w:p>
    <w:p>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（2）立项程序规范性</w:t>
      </w:r>
    </w:p>
    <w:p>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绩效评估，保障了程序的规范性。</w:t>
      </w:r>
    </w:p>
    <w:p>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2.绩效目标</w:t>
      </w:r>
    </w:p>
    <w:p>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（1）绩效目标合理性</w:t>
      </w:r>
    </w:p>
    <w:p>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（2）绩效指标明确性</w:t>
      </w:r>
    </w:p>
    <w:p>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项目设置了明确的预期产出效益和效果，将绩效目标细化分解为具体的绩效指标，绩效目标与项目目标任务数相对应，绩效目标设定的绩效指标清晰、细化、可衡量。</w:t>
      </w:r>
    </w:p>
    <w:p>
      <w:pPr>
        <w:tabs>
          <w:tab w:val="center" w:pos="4295"/>
        </w:tabs>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3.资金投入</w:t>
      </w:r>
    </w:p>
    <w:p>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（1）预算编制科学性</w:t>
      </w:r>
    </w:p>
    <w:p>
      <w:pPr>
        <w:tabs>
          <w:tab w:val="center" w:pos="4295"/>
        </w:tabs>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tabs>
          <w:tab w:val="center" w:pos="4295"/>
        </w:tabs>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（2）资金分配合理性</w:t>
      </w:r>
    </w:p>
    <w:p>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tabs>
          <w:tab w:val="center" w:pos="4295"/>
        </w:tabs>
        <w:spacing w:line="540" w:lineRule="exact"/>
        <w:ind w:firstLine="624" w:firstLineChars="200"/>
        <w:rPr>
          <w:rStyle w:val="19"/>
          <w:rFonts w:hint="eastAsia" w:ascii="楷体" w:hAnsi="楷体" w:eastAsia="楷体"/>
          <w:b w:val="0"/>
          <w:bCs w:val="0"/>
          <w:spacing w:val="-4"/>
          <w:sz w:val="32"/>
          <w:szCs w:val="32"/>
          <w:lang w:val="en-US" w:eastAsia="zh-CN"/>
        </w:rPr>
      </w:pPr>
      <w:r>
        <w:rPr>
          <w:rStyle w:val="19"/>
          <w:rFonts w:hint="eastAsia" w:ascii="楷体" w:hAnsi="楷体" w:eastAsia="楷体"/>
          <w:b w:val="0"/>
          <w:bCs w:val="0"/>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Style w:val="19"/>
          <w:rFonts w:hint="eastAsia" w:ascii="楷体" w:hAnsi="楷体" w:eastAsia="楷体"/>
          <w:b w:val="0"/>
          <w:bCs w:val="0"/>
          <w:spacing w:val="-4"/>
          <w:sz w:val="32"/>
          <w:szCs w:val="32"/>
          <w:lang w:val="en-US" w:eastAsia="zh-CN"/>
        </w:rPr>
        <w:t>.</w:t>
      </w:r>
    </w:p>
    <w:p>
      <w:pPr>
        <w:tabs>
          <w:tab w:val="center" w:pos="4295"/>
        </w:tabs>
        <w:spacing w:line="540" w:lineRule="exact"/>
        <w:ind w:firstLine="624" w:firstLineChars="200"/>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19"/>
          <w:rFonts w:hint="eastAsia" w:ascii="楷体" w:hAnsi="楷体" w:eastAsia="楷体"/>
          <w:b w:val="0"/>
          <w:bCs w:val="0"/>
          <w:spacing w:val="-4"/>
          <w:sz w:val="32"/>
          <w:szCs w:val="32"/>
          <w:lang w:eastAsia="zh-CN"/>
        </w:rPr>
        <w:tab/>
      </w:r>
    </w:p>
    <w:p>
      <w:pPr>
        <w:spacing w:line="540" w:lineRule="exact"/>
        <w:ind w:firstLine="567" w:firstLineChars="181"/>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项目过程类指标包括资金管理和组织实施两方面的内容，由1个三级指标构成，权重分值为20分，实际得分20分，得分率为100%。</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1.资金管理</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（1）资金到位率</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本项目总投资54.18万元，财政资金及时足额到位，到位率100%，预算资金按计划进度执行。</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（2）预算执行率</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预算编制较为详细，项目资金支出总体能够按照预算执行，预算资金支出54.18万元，预算执行率为100%。</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（3）资金使用合规性</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的资金使用严格遵循了根据塔地财社[2023]25号2023年中央基本公共卫生补助、塔地财社[2023]93号2024年中央基本公共卫生、塔地财社[2023]94号2024年自治区基本公共卫生服务补助资金、塔地财社［2024］20号2024年中央基本公共卫生服务补助资金第二批、2024年县级配套资金、塔地财社[2024]10号2024年自治区基本公共卫生补助项目文件，确保了资金的合规性与安全性。在资金使用过程中，我们建立了完善的财务管理体系，对资金的流动进行了全程监控与记录。</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2.组织实施</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（1）管理制度健全性</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在制度设计上，我们注重了制度的科学性与可操作性，确保制度能够切实指导项目的执行与管理。</w:t>
      </w:r>
      <w:r>
        <w:cr/>
      </w:r>
      <w:r>
        <w:rPr>
          <w:rStyle w:val="19"/>
          <w:rFonts w:hint="eastAsia" w:ascii="楷体" w:hAnsi="楷体" w:eastAsia="楷体"/>
          <w:b w:val="0"/>
          <w:bCs w:val="0"/>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（2）制度执行有效性</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cr/>
      </w:r>
      <w:r>
        <w:rPr>
          <w:rStyle w:val="19"/>
          <w:rFonts w:hint="eastAsia" w:ascii="楷体" w:hAnsi="楷体" w:eastAsia="楷体"/>
          <w:b w:val="0"/>
          <w:bCs w:val="0"/>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pPr>
        <w:spacing w:line="540" w:lineRule="exact"/>
        <w:ind w:firstLine="567"/>
        <w:rPr>
          <w:rStyle w:val="19"/>
          <w:rFonts w:hint="eastAsia" w:ascii="楷体" w:hAnsi="楷体" w:eastAsia="楷体"/>
          <w:b w:val="0"/>
          <w:bCs w:val="0"/>
          <w:spacing w:val="-6"/>
          <w:w w:val="96"/>
          <w:sz w:val="32"/>
          <w:szCs w:val="32"/>
        </w:rPr>
      </w:pPr>
      <w:r>
        <w:rPr>
          <w:rStyle w:val="19"/>
          <w:rFonts w:hint="eastAsia" w:ascii="楷体" w:hAnsi="楷体" w:eastAsia="楷体"/>
          <w:b w:val="0"/>
          <w:bCs w:val="0"/>
          <w:spacing w:val="-4"/>
          <w:sz w:val="32"/>
          <w:szCs w:val="32"/>
        </w:rPr>
        <w:t>综上所述，本项目的管理制度在执行过程中表现出了高度的</w:t>
      </w:r>
      <w:r>
        <w:rPr>
          <w:rStyle w:val="19"/>
          <w:rFonts w:hint="eastAsia" w:ascii="楷体" w:hAnsi="楷体" w:eastAsia="楷体"/>
          <w:b w:val="0"/>
          <w:bCs w:val="0"/>
          <w:spacing w:val="-6"/>
          <w:w w:val="96"/>
          <w:sz w:val="32"/>
          <w:szCs w:val="32"/>
        </w:rPr>
        <w:t>有效性，既确保了项目的顺利进行，又实现了项目目标的有效达成。</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项目产出类指标包括产出数量、产出质量、产出时效、产出成本四方面的内容，由7个三级指标构成，权重分为40分，实际得分40分，得分率为100%。具体产出指标完成情况如下：</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①数量指标：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指标1：基本公共卫生服务项目数量指标，预期指标值为“&gt;=14个”，实际完成值：14个，指标完成率100 %。</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指标2：服务宣传次数指标，预期指标值为“&gt;=4次”，实际完成值：4次，指标完成率100%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指标3：发放公共卫生服务补助人员数量指标，预期指标值为“&gt;=6人”，实际完成值：6人，指标完成率100%。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②质量指标：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指标1：“服务宣传覆盖率”指标，预期指标值为“=100%”，实际完成值：100%，指标完成率100%；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指标2：“《国家基本公卫服务规范》考核合格率”指标值为“=100%”，实际完成值：100%，指标完成率100%。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③时效指标：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指标1：“基本公共卫生服务工作完成时间”指标，预期指标值为“2024年12月25日前”，实际完成值2024年12月25日，指标完成率100%。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④成本指标：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指标1：“基本公共卫生项目资金”指标，预期指标值为“=&lt;54.18万元”；实际完成值：54.18万元，指标完成率100%，。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项目效益情况</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项目效益类指标包括项目实施效益和满意度两方面的内容，由2个三级指标构成，权重分为20分，实际得分20分，得分率为100%。具体效益指标及满意度指标完成情况如下：</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1.实施效益</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社会效益指标：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指标：“农牧民对慢病自我管理意识覆盖率”指标，预期指标值为“=100%”，实际完成值：100%，指标完成率100%。</w:t>
      </w:r>
    </w:p>
    <w:p>
      <w:pPr>
        <w:numPr>
          <w:numId w:val="0"/>
        </w:numPr>
        <w:spacing w:line="540" w:lineRule="exact"/>
        <w:ind w:firstLine="624" w:firstLineChars="200"/>
        <w:rPr>
          <w:rStyle w:val="19"/>
          <w:rFonts w:hint="eastAsia" w:ascii="楷体" w:hAnsi="楷体" w:eastAsia="楷体"/>
          <w:b w:val="0"/>
          <w:bCs w:val="0"/>
          <w:spacing w:val="-4"/>
          <w:sz w:val="32"/>
          <w:szCs w:val="32"/>
          <w:lang w:val="en-US" w:eastAsia="zh-CN"/>
        </w:rPr>
      </w:pPr>
      <w:r>
        <w:rPr>
          <w:rStyle w:val="19"/>
          <w:rFonts w:hint="eastAsia" w:ascii="楷体" w:hAnsi="楷体" w:eastAsia="楷体"/>
          <w:b w:val="0"/>
          <w:bCs w:val="0"/>
          <w:spacing w:val="-4"/>
          <w:sz w:val="32"/>
          <w:szCs w:val="32"/>
          <w:lang w:val="en-US" w:eastAsia="zh-CN"/>
        </w:rPr>
        <w:t>2.满意度</w:t>
      </w:r>
    </w:p>
    <w:p>
      <w:pPr>
        <w:numPr>
          <w:ilvl w:val="0"/>
          <w:numId w:val="0"/>
        </w:numPr>
        <w:spacing w:line="540" w:lineRule="exact"/>
        <w:ind w:firstLine="624" w:firstLineChars="200"/>
        <w:rPr>
          <w:rStyle w:val="19"/>
          <w:rFonts w:hint="eastAsia" w:ascii="楷体" w:hAnsi="楷体" w:eastAsia="楷体"/>
          <w:b w:val="0"/>
          <w:bCs w:val="0"/>
          <w:spacing w:val="-4"/>
          <w:sz w:val="32"/>
          <w:szCs w:val="32"/>
          <w:lang w:val="en-US" w:eastAsia="zh-CN"/>
        </w:rPr>
      </w:pPr>
      <w:r>
        <w:rPr>
          <w:rStyle w:val="19"/>
          <w:rFonts w:hint="eastAsia" w:ascii="楷体" w:hAnsi="楷体" w:eastAsia="楷体"/>
          <w:b w:val="0"/>
          <w:bCs w:val="0"/>
          <w:spacing w:val="-4"/>
          <w:sz w:val="32"/>
          <w:szCs w:val="32"/>
          <w:lang w:val="en-US" w:eastAsia="zh-CN"/>
        </w:rPr>
        <w:t>满意度指标：</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lang w:val="en-US" w:eastAsia="zh-CN"/>
        </w:rPr>
        <w:t>指标：</w:t>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受益户满意度</w:t>
      </w:r>
      <w:r>
        <w:rPr>
          <w:rStyle w:val="19"/>
          <w:rFonts w:hint="eastAsia" w:ascii="楷体" w:hAnsi="楷体" w:eastAsia="楷体"/>
          <w:b w:val="0"/>
          <w:bCs w:val="0"/>
          <w:spacing w:val="-4"/>
          <w:sz w:val="32"/>
          <w:szCs w:val="32"/>
        </w:rPr>
        <w:t>”指标，预期指标值为“&gt;=100%”，实际完成值：100%，指标完成率10</w:t>
      </w:r>
      <w:r>
        <w:rPr>
          <w:rStyle w:val="19"/>
          <w:rFonts w:hint="eastAsia" w:ascii="楷体" w:hAnsi="楷体" w:eastAsia="楷体"/>
          <w:b w:val="0"/>
          <w:bCs w:val="0"/>
          <w:spacing w:val="-4"/>
          <w:sz w:val="32"/>
          <w:szCs w:val="32"/>
          <w:lang w:val="en-US" w:eastAsia="zh-CN"/>
        </w:rPr>
        <w:t>5</w:t>
      </w:r>
      <w:r>
        <w:rPr>
          <w:rStyle w:val="19"/>
          <w:rFonts w:hint="eastAsia" w:ascii="楷体" w:hAnsi="楷体" w:eastAsia="楷体"/>
          <w:b w:val="0"/>
          <w:bCs w:val="0"/>
          <w:spacing w:val="-4"/>
          <w:sz w:val="32"/>
          <w:szCs w:val="32"/>
        </w:rPr>
        <w:t>%。</w:t>
      </w:r>
    </w:p>
    <w:p>
      <w:pPr>
        <w:spacing w:line="54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五、预算执行进度与绩效指标偏差</w:t>
      </w:r>
    </w:p>
    <w:p>
      <w:pPr>
        <w:spacing w:line="540" w:lineRule="exact"/>
        <w:ind w:firstLine="624" w:firstLineChars="200"/>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2024年基本公共卫生服务补助资金项目年初预算5.43万元，全年预算54.18万元，实际支出54.18万元，预算执行率为100%，项目绩效指标总体完成率为100%，总体偏差率为0%。。</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六、主要经验及做法、存在的问题及原因分析</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（一）主要经验及做法</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存在的问题及原因分析</w:t>
      </w:r>
    </w:p>
    <w:p>
      <w:pPr>
        <w:spacing w:line="540" w:lineRule="exact"/>
        <w:ind w:firstLine="624" w:firstLineChars="200"/>
        <w:rPr>
          <w:rFonts w:ascii="仿宋_GB2312" w:eastAsia="仿宋_GB2312"/>
          <w:spacing w:val="-4"/>
          <w:sz w:val="32"/>
          <w:szCs w:val="32"/>
        </w:rPr>
      </w:pPr>
      <w:r>
        <w:rPr>
          <w:rStyle w:val="19"/>
          <w:rFonts w:hint="eastAsia" w:ascii="楷体" w:hAnsi="楷体" w:eastAsia="楷体"/>
          <w:b w:val="0"/>
          <w:bCs w:val="0"/>
          <w:spacing w:val="-4"/>
          <w:sz w:val="32"/>
          <w:szCs w:val="32"/>
        </w:rPr>
        <w:t>1.相关绩效管理方面专业知识的系统性学习有待加强。各项指标的设置要进一步优化、完善，主要在细化、量化上改进。在绩效自评过程中，由干部分人员缺乏相关绩效管理专业知识，自评价工作还存在自我审定的局限性，影响评价质量。</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2.因轮岗、调动等因素使我单位绩效工作人员流动频繁，造成工作衔接不到位的情况。</w:t>
      </w:r>
    </w:p>
    <w:p>
      <w:p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、有关建议</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1.多进行有关绩效管理工作方面的培训。积极组织第三方开展绩效管理工作培训，进一步夯实业务基础，提高我单位绩效人员水平。</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2.专门设定对绩效工作人员定职、定岗、定责等相关制度措施，进一步提升我单位绩效管理工作业务水平，扎实做好绩效管理工作。</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pacing w:line="540" w:lineRule="exact"/>
        <w:ind w:firstLine="624" w:firstLineChars="200"/>
        <w:rPr>
          <w:rStyle w:val="19"/>
          <w:rFonts w:hint="eastAsia" w:ascii="楷体" w:hAnsi="楷体" w:eastAsia="楷体"/>
          <w:b w:val="0"/>
          <w:bCs w:val="0"/>
          <w:spacing w:val="-6"/>
          <w:w w:val="96"/>
          <w:sz w:val="32"/>
          <w:szCs w:val="32"/>
        </w:rPr>
      </w:pPr>
      <w:r>
        <w:rPr>
          <w:rStyle w:val="19"/>
          <w:rFonts w:hint="eastAsia" w:ascii="楷体" w:hAnsi="楷体" w:eastAsia="楷体"/>
          <w:b w:val="0"/>
          <w:bCs w:val="0"/>
          <w:spacing w:val="-4"/>
          <w:sz w:val="32"/>
          <w:szCs w:val="32"/>
        </w:rPr>
        <w:t>4.进一步完善项目评价过程中有关数据和资料的收集、整理、审核及分析。项目启动时同步做好档案的归纳与整理，及时整理、</w:t>
      </w:r>
      <w:bookmarkStart w:id="0" w:name="_GoBack"/>
      <w:r>
        <w:rPr>
          <w:rStyle w:val="19"/>
          <w:rFonts w:hint="eastAsia" w:ascii="楷体" w:hAnsi="楷体" w:eastAsia="楷体"/>
          <w:b w:val="0"/>
          <w:bCs w:val="0"/>
          <w:spacing w:val="-6"/>
          <w:w w:val="96"/>
          <w:sz w:val="32"/>
          <w:szCs w:val="32"/>
        </w:rPr>
        <w:t>收集、汇总，健全档案资料。项目后续管理有待进一步加强和跟踪。</w:t>
      </w:r>
    </w:p>
    <w:bookmarkEnd w:id="0"/>
    <w:p>
      <w:pPr>
        <w:spacing w:line="540" w:lineRule="exact"/>
        <w:ind w:firstLine="624" w:firstLineChars="200"/>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八</w:t>
      </w:r>
      <w:r>
        <w:rPr>
          <w:rStyle w:val="19"/>
          <w:rFonts w:hint="eastAsia" w:ascii="黑体" w:hAnsi="黑体" w:eastAsia="黑体"/>
          <w:b w:val="0"/>
          <w:spacing w:val="-4"/>
          <w:sz w:val="32"/>
          <w:szCs w:val="32"/>
        </w:rPr>
        <w:t>、其他需要说明的问题</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本项目无其他需说明的问题。</w:t>
      </w: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BCDE204-E71E-4F98-8E16-11DC893CD37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0D71A0AD-EFB0-49C2-AEFF-A4BE5AF97938}"/>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2B0AF995-2354-470F-B080-A4B8761D2196}"/>
  </w:font>
  <w:font w:name="华文中宋">
    <w:panose1 w:val="02010600040101010101"/>
    <w:charset w:val="86"/>
    <w:family w:val="auto"/>
    <w:pitch w:val="default"/>
    <w:sig w:usb0="00000000" w:usb1="00000000" w:usb2="00000000" w:usb3="00000000" w:csb0="00000000" w:csb1="00000000"/>
    <w:embedRegular r:id="rId4" w:fontKey="{F1F02150-B328-4FE2-9FD2-51096170D4BF}"/>
  </w:font>
  <w:font w:name="方正小标宋_GBK">
    <w:panose1 w:val="02000000000000000000"/>
    <w:charset w:val="86"/>
    <w:family w:val="script"/>
    <w:pitch w:val="default"/>
    <w:sig w:usb0="00000000" w:usb1="00000000" w:usb2="00000000" w:usb3="00000000" w:csb0="00000000" w:csb1="00000000"/>
    <w:embedRegular r:id="rId5" w:fontKey="{5C1105E2-9C7A-4200-8315-6016D10B3B4F}"/>
  </w:font>
  <w:font w:name="仿宋_GB2312">
    <w:panose1 w:val="02010609030101010101"/>
    <w:charset w:val="86"/>
    <w:family w:val="modern"/>
    <w:pitch w:val="default"/>
    <w:sig w:usb0="00000001" w:usb1="080E0000" w:usb2="00000000" w:usb3="00000000" w:csb0="00040000" w:csb1="00000000"/>
    <w:embedRegular r:id="rId6" w:fontKey="{E43E8AA3-9785-451D-8420-7175BA1211E0}"/>
  </w:font>
  <w:font w:name="楷体">
    <w:panose1 w:val="02010609060101010101"/>
    <w:charset w:val="86"/>
    <w:family w:val="modern"/>
    <w:pitch w:val="default"/>
    <w:sig w:usb0="800002BF" w:usb1="38CF7CFA" w:usb2="00000016" w:usb3="00000000" w:csb0="00040001" w:csb1="00000000"/>
    <w:embedRegular r:id="rId7" w:fontKey="{8FDB3774-B426-4781-B310-59A9818A42D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singleLevel"/>
    <w:tmpl w:val="0053208E"/>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6C4A53"/>
    <w:rsid w:val="7CB46795"/>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C734C92AAAF24344A0E4232D8EB3359B</vt:lpwstr>
  </property>
  <property fmtid="{D5CDD505-2E9C-101B-9397-08002B2CF9AE}" pid="4" name="KSOTemplateDocerSaveRecord">
    <vt:lpwstr>eyJoZGlkIjoiMjI3ZTgyMmJlZWE0ZjRiY2QzYzRkMGVkMGI0ZmE3NWUiLCJ1c2VySWQiOiIzNzc2ODcyMjYifQ==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7594f9-d8db-4d89-ac4e-7f87f4ee0893}">
  <ds:schemaRefs/>
</ds:datastoreItem>
</file>

<file path=docProps/app.xml><?xml version="1.0" encoding="utf-8"?>
<Properties xmlns="http://schemas.openxmlformats.org/officeDocument/2006/extended-properties" xmlns:vt="http://schemas.openxmlformats.org/officeDocument/2006/docPropsVTypes">
  <Template>Normal.dotm</Template>
  <Pages>20</Pages>
  <Words>9881</Words>
  <Characters>10291</Characters>
  <Lines>5</Lines>
  <Paragraphs>1</Paragraphs>
  <TotalTime>4</TotalTime>
  <ScaleCrop>false</ScaleCrop>
  <LinksUpToDate>false</LinksUpToDate>
  <CharactersWithSpaces>10448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0305</cp:lastModifiedBy>
  <cp:lastPrinted>2018-12-31T10:56:00Z</cp:lastPrinted>
  <dcterms:modified xsi:type="dcterms:W3CDTF">2025-09-29T09:06:01Z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C734C92AAAF24344A0E4232D8EB3359B</vt:lpwstr>
  </property>
  <property fmtid="{D5CDD505-2E9C-101B-9397-08002B2CF9AE}" pid="4" name="KSOTemplateDocerSaveRecord">
    <vt:lpwstr>eyJoZGlkIjoiMjI3ZTgyMmJlZWE0ZjRiY2QzYzRkMGVkMGI0ZmE3NWUiLCJ1c2VySWQiOiIzNzc2ODcyMjYifQ_x003D__x003D_</vt:lpwstr>
  </property>
</Properties>
</file>