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2024年基本公共卫生服务补助资金</w:t>
      </w:r>
    </w:p>
    <w:p>
      <w:pPr>
        <w:spacing w:line="540" w:lineRule="exact"/>
        <w:ind w:firstLine="567"/>
        <w:rPr>
          <w:rStyle w:val="Strong"/>
          <w:rFonts w:ascii="楷体" w:eastAsia="楷体" w:hAnsi="楷体" w:hint="eastAsia"/>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32"/>
          <w:szCs w:val="32"/>
        </w:rPr>
        <w:t xml:space="preserve">裕民县江格斯乡卫生院</w:t>
      </w:r>
    </w:p>
    <w:p>
      <w:pPr>
        <w:spacing w:line="540" w:lineRule="exact"/>
        <w:ind w:firstLine="900" w:firstLineChars="250"/>
        <w:rPr>
          <w:rStyle w:val="Strong"/>
          <w:rFonts w:ascii="楷体" w:eastAsia="楷体" w:hAnsi="楷体" w:hint="eastAsia"/>
          <w:spacing w:val="-4"/>
          <w:sz w:val="32"/>
          <w:szCs w:val="32"/>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32"/>
          <w:szCs w:val="32"/>
        </w:rPr>
        <w:t xml:space="preserve">裕民县江格斯乡卫生院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郑林金</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2025年04月15日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1.项目背景</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基本公共卫生服务项目是促进基本公共卫生服务逐步均等化的重要内容，是深化医药卫生体制改革的重要工作。是我县政府针对当前城乡居民存在的主要健康问题，以儿童、孕产妇、老年人、慢性疾病患者为重点人群，面向全体居民免费提供的最基本公共卫生服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2.项目主要内容：</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主要内容：目前，基本公共卫生服务项目有14项内容，即：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实施情况：本项目于2024年1月开始实施，截至2024年12月，该项目已实施完成孕产妇及0-6岁儿童体检管理率100%、健康教育讲座及公众咨询60次，高血压规范管理率88.48%;Ⅱ型糖尿病规范管理率92.31%，适龄儿童国家免疫规划疫苗接种率99.81%，老年人健康管理率81.27%。通过本项目的实施，有效保障受益群众基本生活，提升了群众对传染病的认识，增强了传染病防控意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3.资金投入和使用情况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（1）资金投入情况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该项目年初预算数6.46万元，全年预算数40.08万元，该项目资金已全部落实到位，资金来源为财政拨款。</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（2）资金使用情况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该项目年初预算数6.46万元，全年预算数40.08万元，全年执行数40.08万元，预算执行率为100%，主要用于：支付商品和服务支出费用40.08万元。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根据塔地财社[2023]25号2023年中央基本公共卫生补助、塔地财社[2023]93号2024年中央基本公共卫生（第一批）、塔地财社[2023]94号2024年自治区基本公共卫生、2024年县级配套资金、塔地财社[2024]10号2024年自治区基本公共卫生、塔地财社[2024]20号2024年中央基本公共卫生补助（第二批）项目预算，下达预算35.65万元，主要用于居民可以免费享受基本公共卫生服务14项服务内容，包括居民健康档案管理，健康教育，预防接种，传染病及突发公共卫生事件报告和处理，0-6儿童管理，孕产妇健康管理，65岁以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2.阶段性目标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2024年12月25日之前我单位完成了孕产妇及0-6岁儿童体检管理率100%、健康教育讲座及公众咨询次数60次、高血压规范管理率88.48%、Ⅱ型糖尿病规范管理率92.31%，适龄儿童国家免疫规划疫苗接种率99.81%，老年人健康管理率81.27%。通过各项工作的开展提高了辖区居民综合知晓率，获得了较高的居民满意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1.绩效评价完整性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2.绩效评价的目的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（1）评估项目实施效果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通过对项目预算执行情况及各项绩效目标达成程度的系统性分析，全面、客观地评估项目在预定周期内的实施效果，包括社会效益等多维度指标，为项目后续的改进与优化提供科学依据。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（2）提升资源利用效率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（3）强化项目管理责任</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（4）为决策提供支持</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（5）促进项目持续改进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3.绩效评价的对象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的评价对象是基本公共卫生服务补助资金项目及其预算执行情况。该项目由裕民县疾病预防控制中心负责实施，旨在通过结核病、预防接种、地方病、职业病的宣传，对全县民健康问题实施干预，减少主要健康危害因素，减少居民的患病几率，有效预防和控制传染病及慢性非传染性疾病，加强突发公共卫生事件应急机制建设，提高基本公共项目和突发公共卫生事件应急处置能力，全县居民逐步获得均等化的基本公共项目服务，主要健康危险因素得到有效控制，全县居民健康水平得到进一步提高。。项目预算涵盖从2024年1月至2024年12月的全部资金投入与支出，涉及资金总额为40.08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4.绩效评价的范围</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（1）项目预算编制与执行：全面审视项目预算的编制依据、合理性、科学性以及实际执行情况，包括预算调整的原因和效果</w:t>
      </w:r>
      <w:r>
        <w:rPr>
          <w:rStyle w:val="Strong"/>
          <w:rFonts w:ascii="楷体" w:eastAsia="楷体" w:hAnsi="楷体" w:hint="eastAsia"/>
          <w:b w:val="0"/>
          <w:bCs w:val="0"/>
          <w:spacing w:val="-4"/>
          <w:sz w:val="32"/>
          <w:szCs w:val="32"/>
          <w:lang w:eastAsia="zh-CN"/>
        </w:rPr>
        <w:t xml:space="preserve">。</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（2）资金管理：深入分析项目资金的分配、使用和监管情况，确保资金使用的合规性、高效性和透明度。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（3）项目实施进度与产出：评估项目是否按照既定计划顺利推进，各项任务是否按时完成，以及项目产出的数量、质量和时效性是否符合预期。</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1.绩效评价原则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本次项目绩效评价遵循以下基本原则：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（4）公开透明。绩效评价结果应依法依规公开，并自觉接受社会监督。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2.评价指标体系</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（1）确定评价指标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lang w:val="en-US" w:eastAsia="zh-CN"/>
        </w:rPr>
      </w:pP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w:t>
      </w:r>
      <w:r>
        <w:rPr>
          <w:rStyle w:val="Strong"/>
          <w:rFonts w:ascii="楷体" w:eastAsia="楷体" w:hAnsi="楷体" w:hint="eastAsia"/>
          <w:b w:val="0"/>
          <w:bCs w:val="0"/>
          <w:spacing w:val="-4"/>
          <w:sz w:val="32"/>
          <w:szCs w:val="32"/>
          <w:lang w:val="en-US" w:eastAsia="zh-CN"/>
        </w:rPr>
        <w:t xml:space="preserve">系。</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（2）确定权重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（3）确定指标标准值</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r>
        <w:c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具体评价指标体系详情见附件1</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3.绩效评价方法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（一）因素分析法。是指综合分析影响绩效目标实现、实施效果的内外部因素的方法。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4.评价标准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（1）前期准备与规划</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项目绩效评价工作启动之初，成立了专门的评价工作小组，小组成员由单位主要领导、各科室主要负责人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（2）指标体系构建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（3）数据收集与整理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广泛收集与项目相关的各类数据，包括财务报表、项目文档、业务数据、满意度调查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（4）数据分析与评估</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（5）报告撰写与反馈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后续跟踪与改进</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（一）评价情况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2024年基本公共卫生服务补助资金项目在居民可以免费享受基本公共卫生服务14项服务内容，包括居民健康档案管理，健康教育，预防接种，传染病及突发公共卫生事件报告和处理，0-6儿童管理，孕产妇健康管理，65岁以老年人健康管理，严重精神障碍患者管理，卫生计生监督协管、慢性病患者健康管理、结核病患者健康管理、中医药健康管理、免费提供避孕药具、健康素养促进行动等14项服务等方面表现出色，达到了预期的标准与要求。同时，项目也在公共卫生领域取得了显著的成效，如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在项目管理方面，裕民县江格斯乡卫生院通过有效的规划、组织与协调，项目得以顺利实施，并在预算与时间上保持了良好的控制。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从项目效益的角度来看，本项目不仅实现了预期的社会效益方面产生了积极的影响。具体而言，辖区居民综合知晓率、辖区居民满意度等方面的提升，为项目的利益相关者带来了实实在在的利益。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综上所述，2024年基本公共卫生服务补助资金项目在绩效评价中表现出色，达到了项目的预期目标，并在多个方面取得了显著的成效。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（二）评价结论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b w:val="0"/>
          <w:bCs w:val="0"/>
          <w:spacing w:val="-4"/>
          <w:sz w:val="32"/>
          <w:szCs w:val="32"/>
        </w:rPr>
      </w:pPr>
      <w:bookmarkStart w:id="0" w:name="_GoBack"/>
      <w:bookmarkEnd w:id="0"/>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 项目过程类指标权重为20分，得分为20分，得分率为100%。项目产出类指标权重为40分，得分为40分，得分率为 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项目效益类指标权重为20分，得分为20分，得分率为100%。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项目产出类指标包括项目立项、绩效目标和资金投入三方面的内容，由9个三级指标构成，权重分值为20分，实际得分20分，得分率为100%。</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1.项目立项</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（1）立项依据充分性</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该项目立项符合国家相关法律法规根据塔地财社[2023]25号2023年中央基本公共卫生补助、塔地财社[2023]93号2024年中央基本公共卫生（第一批）、塔地财社[2023]94号2024年自治区基本公共卫生、2024年县级配套资金、塔地财社[2024]10号2024年自治区基本公共卫生、塔地财社[2024]20号2024年中央基本公共卫生补助（第二批）项目的要求，围绕本年度工作重点和工作计划制定经费预算，属于公共财政支持范围。本项目与部门内部其他相关项目不重复。部门发展规划及职能文件等归档完整。</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（2）立项程序规范性</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工作计划和经费预算，经过与单位主要领导沟通、筛选确定经费预算计划，确定最终预算方案。项目的审批文件、材料符合相关要求，项目事前经过必要的可行性研究、风险评估、绩效评估、集体决策，保障了程序的规范性。</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2.绩效目标</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（1）绩效目标合理性</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（2）绩效指标明确性</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3.资金投入</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（1）预算编制科学性</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（2）资金分配合理性</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项目过程类指标包括资金管理和组织实施两方面的内容，由6个三级指标构成，权重分值为20分，实际得分20分，得分率为100%。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1.资金管理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（1）资金到位率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本项目总投资40.08万元，财政资金及时足额到位，到位率100%，预算资金按计划进度执行。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（2）预算执行率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预算编制较为详细，项目资金支出总体能够按照预算执行，预算资金支出40.08万元，预算执行率为100%。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（3）资金使用合规性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资金使用严格遵循了根据塔地财社[2023]25号2023年中央基本公共卫生补助、塔地财社[2023]93号2024年中央基本公共卫生（第一批）、塔地财社[2023]94号2024年自治区基本公共卫生、2024年县级配套资金、塔地财社[2024]10号2024年自治区基本公共卫生、塔地财社[2024]20号2024年中央基本公共卫生补助（第二批）项目文件，确保了资金的合规性与安全性。在资金使用过程中，我们建立了完善的财务管理体系，对资金的流动进行了全程监控与记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2.组织实施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（1）管理制度健全性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（2）制度执行有效性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项目产出类指标包括产出数量、产出质量、产出时效、产出成本四方面的内容，由15个三级指标构成，权重分为40分，实际得分40分，得分率为100%。具体产出指标完成情况如下：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指标1：孕产妇及0-6岁儿童体检管理率，指标值：&gt;=90%，实际完成值：100%，指标完成率111%。</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指标2：健康教育讲座及公众咨询次数，指标值：&gt;=60次，实际完成值：60次，指标完成率100%。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指标3：高血压规范管理率，指标值：&gt;=80%，实际完成值：88.48%，指标完成率110%。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指标4：Ⅱ型糖尿病规范管理率，指标值：&gt;=80%，实际完成值：92.31%，指标完成率115%。</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指标5：适龄儿童国家免疫规划疫苗接种率，指标值：&gt;=80%，实际完成值：99.81%，指标完成率124%，造成偏差的原因：设置目标设置的相关负责人提供的数字相对保守。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指标6：老年人健康管理率，指标值：&gt;=67%，实际完成值：81.27%，指标完成率100%。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②质量指标：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指标1：服务宣传覆盖率，指标值：=100%，实际完成值：100%，指标完成率100%。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指标2：《国家基本公共卫生规范》考核合规率，指标值：=100%，实际完成值：100%，指标完成率100%。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③时效指标：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指标1：资金支付及时率，指标值：=100%，实际完成值：100%，指标完成率100%。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④成本指标：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指标1：孕产妇及0-6岁儿童体检管理资金，指标值：&lt;=4万元，实际完成值：4万元，指标完成率100%。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指标2：健康教育讲座及公众咨询经费，指标值：&lt;=2.9万元，实际完成值：2.9万元，指标完成率100%。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指标3：高血压规范管理经费，指标值：&lt;=11.01万元，实际完成值：11.01万元，指标完成率100%。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指标4：Ⅱ型糖尿病规范管理经费，指标值：&lt;=9.78万元，实际完成值：9.78万元，指标完成率100%。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指标5：适龄儿童国家免疫规划疫苗接种经费，指标值：&lt;=6.84万元，实际完成值：6.84万元，指标完成率100%。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指标6：老年人健康管理经费，指标值：&lt;=5.55万元，实际完成值：5.55万元，指标完成率100%。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项目效益类指标包括项目实施效益和满意度两方面的内容，由2个三级指标构成，权重分为20分，实际得分20分，得分率为100%。具体效益指标及满意度指标完成情况如下：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1.实施效益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①社会效益指标：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指标1：辖区居民综合知晓率，指标值：&gt;=95%，实际完成值：95%，指标完成率100%。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2.满意度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指标1：辖区居民满意度，指标值：&gt;=95%，实际完成值：100%，指标完成率105%。</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2024年基本公共卫生服务补助资金项目年初预算6.46万元，全年预算40.08万元，实际支出40.08万元，预算执行率为100%，项目绩效指标总体完成率为105%，总体偏差率为0%。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（一）主要经验及做法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2.绩效档案归档工作有待提高，财务人员业务素质有待进一步提高。由于财务人员非本专业人员，缺乏系统学习、培训，对部分财务专业用词理解不充分，由此造成操作财务相关系统时咨询他人，造成工作出现延后情</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1.加强培训，提高相关人员工作水平，不定期开展财务业务方面的培训，加强本单位财务人员的专业知识及职业素养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2.进一步规范项目建设的程序。项目前期做好可行性研究报告，更加细化实施方案，严格执行资金管理办法和财政资金管理制度，严格按照项目实施方案稳步推进工作，单位根据自己项目的特点进行总结。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3.进一步完善项目评价过程中有关数据和资料的收集、整理、审核及分析。项目启动时同步做好档案的归纳与整理，及时整理、收集、汇总，健全档案资料。项目后续管理有待进一步加强和跟踪。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Style w:val="Strong"/>
          <w:rFonts w:ascii="楷体" w:eastAsia="楷体" w:hAnsi="楷体" w:hint="eastAsia"/>
          <w:b w:val="0"/>
          <w:bCs w:val="0"/>
          <w:spacing w:val="-4"/>
          <w:sz w:val="32"/>
          <w:szCs w:val="32"/>
        </w:rPr>
        <w:t xml:space="preserve">4.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Cambria">
    <w:altName w:val="Segoe Print"/>
    <w:panose1 w:val="02040503050406030204"/>
    <w:charset w:val="00"/>
    <w:family w:val="roman"/>
    <w:pitch w:val="default"/>
    <w:sig w:usb0="00000000" w:usb1="00000000"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6"/>
      <w:numFmt w:val="decimal"/>
      <w:suff w:val="nothing"/>
      <w:lvlText w:val="（%1）"/>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AE48056E4643492F80CE40C173C633B1_13</vt:lpwstr>
  </property>
  <property fmtid="{D5CDD505-2E9C-101B-9397-08002B2CF9AE}" pid="4" name="KSOTemplateDocerSaveRecord">
    <vt:lpwstr>eyJoZGlkIjoiOTA4NmUyZWY1NGJmZTBkODUyOTcwNTU5ZWM1NWIyMjUiLCJ1c2VySWQiOiI1NzIxODI5NTIifQ==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159</TotalTime>
  <Pages>21</Pages>
  <Words>1238</Words>
  <Characters>1413</Characters>
  <Application>WPS Office_12.1.0.22089_F1E327BC-269C-435d-A152-05C5408002CA</Application>
  <DocSecurity>0</DocSecurity>
  <Lines>5</Lines>
  <Paragraphs>1</Paragraphs>
  <CharactersWithSpaces>1425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芒’Tel</cp:lastModifiedBy>
  <cp:revision>19</cp:revision>
  <cp:lastPrinted>2025-08-15T04:14:00Z</cp:lastPrinted>
  <dcterms:created xsi:type="dcterms:W3CDTF">2018-08-15T02:06:00Z</dcterms:created>
  <dcterms:modified xsi:type="dcterms:W3CDTF">2025-08-18T11:40:57Z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2052-12.1.0.22089</vt:lpwstr>
  </property>
  <property fmtid="{D5CDD505-2E9C-101B-9397-08002B2CF9AE}" pid="3" name="ICV">
    <vt:lpwstr>AE48056E4643492F80CE40C173C633B1_13</vt:lpwstr>
  </property>
  <property fmtid="{D5CDD505-2E9C-101B-9397-08002B2CF9AE}" pid="4" name="KSOTemplateDocerSaveRecord">
    <vt:lpwstr>eyJoZGlkIjoiOTA4NmUyZWY1NGJmZTBkODUyOTcwNTU5ZWM1NWIyMjUiLCJ1c2VySWQiOiI1NzIxODI5NTIifQ_x003D__x003D_</vt:lpwstr>
  </property>
</Properties>
</file>