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eastAsia"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rPr>
          <w:rFonts w:hint="eastAsia" w:hAnsi="宋体" w:eastAsia="仿宋_GB2312" w:cs="宋体"/>
          <w:kern w:val="0"/>
          <w:sz w:val="30"/>
          <w:szCs w:val="30"/>
        </w:rPr>
      </w:pPr>
    </w:p>
    <w:p>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int="eastAsia" w:hAnsi="宋体" w:eastAsia="仿宋_GB2312" w:cs="宋体"/>
          <w:kern w:val="0"/>
          <w:sz w:val="36"/>
          <w:szCs w:val="36"/>
        </w:rPr>
      </w:pPr>
      <w:r>
        <w:rPr>
          <w:rFonts w:hint="eastAsia" w:hAnsi="宋体" w:eastAsia="仿宋_GB2312" w:cs="宋体"/>
          <w:kern w:val="0"/>
          <w:sz w:val="36"/>
          <w:szCs w:val="36"/>
        </w:rPr>
        <w:t>部门单位名称（公章）：</w:t>
      </w:r>
    </w:p>
    <w:p>
      <w:pPr>
        <w:spacing w:line="700" w:lineRule="exact"/>
        <w:ind w:firstLine="849" w:firstLineChars="236"/>
        <w:jc w:val="left"/>
        <w:rPr>
          <w:rFonts w:hint="eastAsia" w:hAnsi="宋体" w:eastAsia="仿宋_GB2312" w:cs="宋体"/>
          <w:kern w:val="0"/>
          <w:sz w:val="36"/>
          <w:szCs w:val="36"/>
        </w:rPr>
      </w:pPr>
      <w:r>
        <w:rPr>
          <w:rFonts w:hint="eastAsia" w:hAnsi="宋体" w:eastAsia="仿宋_GB2312" w:cs="宋体"/>
          <w:kern w:val="0"/>
          <w:sz w:val="36"/>
          <w:szCs w:val="36"/>
        </w:rPr>
        <w:t>填报时间：     年     月     日</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numPr>
          <w:ilvl w:val="0"/>
          <w:numId w:val="1"/>
        </w:numPr>
        <w:snapToGrid w:val="0"/>
        <w:spacing w:line="540" w:lineRule="exact"/>
        <w:rPr>
          <w:rFonts w:hint="eastAsia"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pPr>
        <w:snapToGrid w:val="0"/>
        <w:spacing w:line="540" w:lineRule="exact"/>
        <w:ind w:left="993"/>
        <w:rPr>
          <w:rFonts w:hint="eastAsia" w:ascii="黑体" w:hAnsi="黑体" w:eastAsia="黑体" w:cs="宋体"/>
          <w:bCs/>
          <w:color w:val="333333"/>
          <w:sz w:val="32"/>
          <w:szCs w:val="32"/>
          <w:lang w:bidi="ar"/>
        </w:rPr>
      </w:pPr>
      <w:r>
        <w:rPr>
          <w:rStyle w:val="7"/>
          <w:rFonts w:hint="eastAsia" w:ascii="楷体" w:hAnsi="楷体" w:eastAsia="楷体" w:cs="楷体"/>
          <w:b w:val="0"/>
          <w:spacing w:val="-4"/>
          <w:sz w:val="32"/>
          <w:szCs w:val="32"/>
        </w:rPr>
        <w:t>(</w:t>
      </w:r>
      <w:bookmarkStart w:id="0" w:name="_Hlk199153249"/>
      <w:r>
        <w:rPr>
          <w:rStyle w:val="7"/>
          <w:rFonts w:hint="eastAsia" w:ascii="楷体" w:hAnsi="楷体" w:eastAsia="楷体" w:cs="楷体"/>
          <w:b w:val="0"/>
          <w:spacing w:val="-4"/>
          <w:sz w:val="32"/>
          <w:szCs w:val="32"/>
        </w:rPr>
        <w:t>一)</w:t>
      </w:r>
      <w:bookmarkEnd w:id="0"/>
      <w:r>
        <w:rPr>
          <w:rFonts w:hint="eastAsia" w:ascii="黑体" w:hAnsi="黑体" w:eastAsia="黑体" w:cs="宋体"/>
          <w:bCs/>
          <w:color w:val="333333"/>
          <w:sz w:val="32"/>
          <w:szCs w:val="32"/>
          <w:lang w:bidi="ar"/>
        </w:rPr>
        <w:t>部门单位基本情况:</w:t>
      </w:r>
    </w:p>
    <w:p>
      <w:pPr>
        <w:spacing w:line="600" w:lineRule="exact"/>
        <w:ind w:left="1276" w:firstLine="13" w:firstLineChars="4"/>
        <w:jc w:val="left"/>
        <w:rPr>
          <w:rFonts w:hint="eastAsia" w:ascii="仿宋_GB2312" w:hAnsi="宋体" w:eastAsia="仿宋_GB2312"/>
          <w:b/>
          <w:sz w:val="32"/>
          <w:szCs w:val="32"/>
        </w:rPr>
      </w:pPr>
      <w:r>
        <w:rPr>
          <w:rFonts w:hint="eastAsia" w:ascii="仿宋_GB2312" w:hAnsi="宋体" w:eastAsia="仿宋_GB2312"/>
          <w:b/>
          <w:sz w:val="32"/>
          <w:szCs w:val="32"/>
        </w:rPr>
        <w:t>1.主要职能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裕民县新地乡人民政府承担着贯彻落实党和国家在农村的各项方针政策，促进地方经济发展、维护社会稳定、提供公共服务等重要职能。具体包括推动农村产业发展、加强农村基础设施建设、保障和改善民生、加强社会综合治理、开展农村精神文明建设等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2.机构设置及人员情况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裕民县新地乡人民政府包括本级机关及6个直属事业单位，分别为新地乡农业发展服务中心、新地乡公共文化服务中心、新地乡村镇建设发展中心、新地乡综治和网格化服务中心、新地乡便民服务中心、新地乡综合行政执法队。机关内设5个综合性办公室，即党政办公室、党建办公室、经济发展办公室、社会事务办公室、综合执法办公室。</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新地乡人民政府编制数共计88名，其中党政机关行政编制20名，机关后勤服务人员事业编制2名，6个直属事业单位全额事业编制66名。目前，实有人数106人，其中：在职81人，增加2人，减少3人；退休25人，增加3人。</w:t>
      </w:r>
      <w:bookmarkStart w:id="1" w:name="_Hlk43849111"/>
      <w:bookmarkEnd w:id="1"/>
    </w:p>
    <w:p>
      <w:pPr>
        <w:spacing w:line="600" w:lineRule="exact"/>
        <w:ind w:firstLine="992" w:firstLineChars="318"/>
        <w:jc w:val="left"/>
        <w:rPr>
          <w:rFonts w:hint="eastAsia" w:ascii="黑体" w:hAnsi="黑体" w:eastAsia="黑体" w:cs="宋体"/>
          <w:bCs/>
          <w:color w:val="333333"/>
          <w:sz w:val="32"/>
          <w:szCs w:val="32"/>
          <w:lang w:bidi="ar"/>
        </w:rPr>
      </w:pPr>
      <w:r>
        <w:rPr>
          <w:rStyle w:val="7"/>
          <w:rFonts w:hint="eastAsia" w:ascii="楷体" w:hAnsi="楷体" w:eastAsia="楷体" w:cs="楷体"/>
          <w:b w:val="0"/>
          <w:spacing w:val="-4"/>
          <w:sz w:val="32"/>
          <w:szCs w:val="32"/>
        </w:rPr>
        <w:t>(二)</w:t>
      </w:r>
      <w:r>
        <w:rPr>
          <w:rFonts w:hint="eastAsia" w:ascii="黑体" w:hAnsi="黑体" w:eastAsia="黑体" w:cs="宋体"/>
          <w:bCs/>
          <w:color w:val="333333"/>
          <w:sz w:val="32"/>
          <w:szCs w:val="32"/>
          <w:lang w:bidi="ar"/>
        </w:rPr>
        <w:t>部门单位年度重点工作：</w:t>
      </w:r>
    </w:p>
    <w:p>
      <w:pPr>
        <w:spacing w:line="600" w:lineRule="exact"/>
        <w:ind w:left="1273" w:leftChars="606" w:firstLine="2"/>
        <w:jc w:val="left"/>
        <w:rPr>
          <w:rFonts w:hint="eastAsia" w:ascii="仿宋_GB2312" w:hAnsi="宋体" w:eastAsia="仿宋_GB2312"/>
          <w:b/>
          <w:sz w:val="32"/>
          <w:szCs w:val="32"/>
        </w:rPr>
      </w:pPr>
      <w:r>
        <w:rPr>
          <w:rFonts w:hint="eastAsia" w:ascii="仿宋_GB2312" w:hAnsi="宋体" w:eastAsia="仿宋_GB2312"/>
          <w:b/>
          <w:sz w:val="32"/>
          <w:szCs w:val="32"/>
        </w:rPr>
        <w:t>1.年度总体目标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围绕乡村振兴战略总要求，通过科学规划与合理配置财政资源，提升新地乡的综合发展实力。促进经济持续增长，推动农村产业结构优化升级；加强基础设施建设，改善农村生产生活条件；强化公共服务供给，提高民生保障水平；保护生态环境，实现可持续发展；增进社会和谐稳定，增强群众的幸福感和获得感。</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2.重点工作计划</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聚焦农村产业发展，推动农业现代化进程。一方面，加大对特色农业的扶持力度，依托本地资源优势，重点发展巴什拜羊养殖、特色果蔬种植等产业。通过建设养殖示范基地、推广先进种植技术，提高农产品产量和质量，打造具有市场竞争力的农产品品牌。另一方面，积极发展农产品加工业，建设农产品加工园区，引进龙头企业，延长农业产业链，增加农产品附加值，促进农民增收致富。同时，大力发展乡村旅游产业，充分挖掘新地乡的自然风光和民俗文化资源，打造乡村旅游精品线路，建设农家乐、民宿等旅游配套设施，吸引游客前来观光旅游，带动第三产业发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是加强农村基础设施建设，改善农村生产生活条件。加快推进村组道路建设，实现全乡自然村道路硬化全覆盖，改善农村交通条件，方便农产品运输和群众出行。实施农村厕所革命，新建和改造一批农村卫生厕所，提高农村环境卫生水平。加强农田水利设施建设，修缮和新建灌溉渠道、机井等水利设施，提高农业灌溉保障能力。推进农村电网改造升级，提高供电可靠性和稳定性，满足农村生产生活用电需求。加强农村通信网络建设，实现4G网络和宽带网络全覆盖，为农村经济社会发展提供信息化支撑。</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是强化公共服务供给，提高民生保障水平。落实社会保障政策，加大对农村低保、特困人员、残疾人等困难群体的救助力度，保障他们的基本生活。加强文化建设，建设农村文化活动中心、农家书屋等文化设施，组织开展丰富多彩的文化活动，丰富群众的精神文化生活。推进移风易俗，树立文明乡风、良好家风、淳朴民风，促进农村精神文明建设。</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是加强生态环境保护，推动可持续发展。加强农村生态环境综合整治，开展农村垃圾治理、污水处理和畜禽养殖污染防治工作，改善农村生态环境质量。推进植树造林和森林资源保护工作，提高森林覆盖率，增强生态系统功能。加强水资源保护，严格落实河长制，加强河流、湖泊等水域的管理和保护，保障水资源安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五是维护社会和谐稳定，营造良好发展环境。加强社会治安综合治理，完善社会治安防控体系，严厉打击各类违法犯罪活动，维护农村社会稳定。加强矛盾纠纷排查化解工作，及时解决群众反映的热点难点问题，将矛盾纠纷化解在基层。加强安全生产管理，落实安全生产责任制，加强对农村道路交通、建筑施工、消防等重点领域的安全监管，预防和减少安全事故发生。加强应急管理体系建设，提高应对突发事件的能力，保障群众生命财产安全。</w:t>
      </w:r>
    </w:p>
    <w:p>
      <w:pPr>
        <w:snapToGrid w:val="0"/>
        <w:spacing w:line="540" w:lineRule="exact"/>
        <w:ind w:left="993"/>
        <w:rPr>
          <w:rFonts w:hint="eastAsia" w:ascii="黑体" w:hAnsi="黑体" w:eastAsia="黑体" w:cs="宋体"/>
          <w:b/>
          <w:color w:val="333333"/>
          <w:sz w:val="32"/>
          <w:szCs w:val="32"/>
          <w:lang w:bidi="ar"/>
        </w:rPr>
      </w:pPr>
      <w:r>
        <w:rPr>
          <w:rStyle w:val="7"/>
          <w:rFonts w:hint="eastAsia" w:ascii="楷体" w:hAnsi="楷体" w:eastAsia="楷体" w:cs="楷体"/>
          <w:b w:val="0"/>
          <w:spacing w:val="-4"/>
          <w:sz w:val="32"/>
          <w:szCs w:val="32"/>
        </w:rPr>
        <w:t>(三)</w:t>
      </w:r>
      <w:r>
        <w:rPr>
          <w:rFonts w:hint="eastAsia" w:ascii="黑体" w:hAnsi="黑体" w:eastAsia="黑体" w:cs="宋体"/>
          <w:bCs/>
          <w:color w:val="333333"/>
          <w:sz w:val="32"/>
          <w:szCs w:val="32"/>
          <w:lang w:bidi="ar"/>
        </w:rPr>
        <w:t>部门单位整体预算规模及安排情况：</w:t>
      </w:r>
    </w:p>
    <w:p>
      <w:pPr>
        <w:spacing w:line="600" w:lineRule="exact"/>
        <w:ind w:left="1273" w:leftChars="606" w:firstLine="3" w:firstLineChars="1"/>
        <w:jc w:val="left"/>
        <w:rPr>
          <w:rFonts w:hint="eastAsia" w:ascii="仿宋_GB2312" w:hAnsi="宋体" w:eastAsia="仿宋_GB2312"/>
          <w:b/>
          <w:sz w:val="32"/>
          <w:szCs w:val="32"/>
        </w:rPr>
      </w:pPr>
      <w:r>
        <w:rPr>
          <w:rFonts w:hint="eastAsia" w:ascii="仿宋_GB2312" w:hAnsi="宋体" w:eastAsia="仿宋_GB2312"/>
          <w:b/>
          <w:sz w:val="32"/>
          <w:szCs w:val="32"/>
        </w:rPr>
        <w:t>2024年裕民县新地乡人民政府年初预算安排3151.55万元，其中财政拨款3151.55万元，其他资金0万元，主要用于维持政府机构的日常运转和推动各项事业发展。在人员经费方面，投入1281.064541万元，保障政府工作人员的工资、福利等支出，确保人力资源稳定，使各项工作有序开展；公用经费安排98.937823万元，用于办公耗材购置、水电费缴纳、公务用车运行维护等日常办公支出，维持政府机关的正常办公秩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在项目资金安排上，涉及多个领域，如文化领域，安排资金用于支持美术馆、公共图书馆、文化馆（站）免费开放，以及中央补助地方公共文化服务体系建设，丰富群众精神文化生活；社会保障领域，农村劳动力以奖代补资金、自治区</w:t>
      </w:r>
      <w:r>
        <w:rPr>
          <w:rFonts w:hint="eastAsia" w:ascii="仿宋_GB2312" w:hAnsi="宋体" w:eastAsia="仿宋_GB2312"/>
          <w:b/>
          <w:sz w:val="32"/>
          <w:szCs w:val="32"/>
          <w:lang w:eastAsia="zh-CN"/>
        </w:rPr>
        <w:t>JHSY</w:t>
      </w:r>
      <w:r>
        <w:rPr>
          <w:rFonts w:hint="eastAsia" w:ascii="仿宋_GB2312" w:hAnsi="宋体" w:eastAsia="仿宋_GB2312"/>
          <w:b/>
          <w:sz w:val="32"/>
          <w:szCs w:val="32"/>
        </w:rPr>
        <w:t>补助资金等，助力提升居民生活保障水平；生态保护方面，塔城地区库鲁斯台草原生态保护资金，致力于推动区域生态环境的改善；还有农村基础设施建设、农业生产发展、农村社会事业、农业农村生态环境等项目，通过资金投入推动乡村道路建设、农田水利改善、养殖圈舍建设、农村污水治理等工作，促进乡村振兴战略的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年中调整2771.625111万元，调整后全年预算4734.273807万元，预算调整率约87.94%。调整预算的主要原因如下：一方面，上级加大了对乡村振兴相关项目的支持力度，新增多个项目并追加资金，如农村基础设施建设中的村组道路建设项目，为实现全乡道路网络的进一步完善，新增了多个路段的建设计划，相应增加了预算；在农业生产发展领域，为提升农产品加工能力和拓展销售渠道，对农产品初步和加工配套设施项目进行了资金追加。另一方面，根据实际工作需要，部分项目的实施规模和标准有所调整，由于市场原材料价格上涨以及建设要求提高，需要增加资金投入以保证项目顺利推进，进而导致预算调整。</w:t>
      </w:r>
    </w:p>
    <w:p>
      <w:pPr>
        <w:numPr>
          <w:ilvl w:val="0"/>
          <w:numId w:val="1"/>
        </w:numPr>
        <w:snapToGrid w:val="0"/>
        <w:spacing w:line="540" w:lineRule="exact"/>
        <w:rPr>
          <w:rFonts w:hint="eastAsia"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pPr>
        <w:spacing w:line="600" w:lineRule="exact"/>
        <w:ind w:left="1276" w:firstLine="13" w:firstLineChars="4"/>
        <w:jc w:val="left"/>
        <w:rPr>
          <w:rFonts w:hint="eastAsia" w:ascii="仿宋_GB2312" w:hAnsi="宋体" w:eastAsia="仿宋_GB2312"/>
          <w:b/>
          <w:sz w:val="32"/>
          <w:szCs w:val="32"/>
        </w:rPr>
      </w:pPr>
      <w:r>
        <w:rPr>
          <w:rFonts w:hint="eastAsia" w:ascii="仿宋_GB2312" w:hAnsi="宋体" w:eastAsia="仿宋_GB2312"/>
          <w:b/>
          <w:sz w:val="32"/>
          <w:szCs w:val="32"/>
        </w:rPr>
        <w:t>（一）部门单位整体支出管理情况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1.预算编制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2024年，裕民县新地乡人民政府紧密围绕乡村振兴战略、保障民生、推动地方经济发展等中心工作，科学谋划预算资金安排。在编制预算前，深入开展调研，充分收集各部门、各项目的实际需求信息，结合上一年度预算执行情况，对各类支出进行细致梳理和合理预测。依据《预算法》等相关法律法规及上级财政部门规定的程序和要求，按时完成部门预算编制申报工作。对于农村基础设施建设项目，将工程验收合格率等作为绩效指标；针对农业生产发展项目，选取农产品产量增加量、农民人均增收额、产业带动就业人数等作为关键指标，并结合项目实际情况，合理设定年度目标值。同时，综合考虑各项工作的重要性和紧迫性，构建了全面、科学的部门整体支出核心绩效指标体系，从投入、过程、产出、效益等多个维度对预算资金的使用进行量化评估。此外，严格按照财政统一要求，规范编报部门整体预算申请绩效报告，详细阐述项目的必要性、可行性、预期效益等内容，为财政资金的精准配置和高效使用提供有力依据，切实推动提高财政资金配置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2.预算执行</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塔城地区财政部门批复预算后，新地乡人民政府高度重视，及时制定部门预算支出计划，严格落实预算执行定期分析机制，每月对预算执行情况进行全面分析。通过对比实际支出与预算安排，深入剖析支出进度、资金流向、项目执行效果等方面的情况，及时发现存在的问题和偏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始终坚持严肃财经纪律，严格执行财务管理制度，明确各项支出的审批流程和标准，杜绝违规支出行为。硬化预算约束，对于无预算、超预算的支出，一律不予审批，确保每一笔资金都严格按照预算安排使用。持续树牢厉行节约理念，大力倡导勤俭节约的工作作风，严控一般性支出，努力降低行政运行成本。</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3.绩效管理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2024年，新地乡人民政府严格按照财政要求，全面落实预算绩效管理全过程。一是在注重绩效目标编制方面，深入了解各项目的实际需求，科学选择绩效指标，合理设置绩效目标值，确保目标切实可行。同时，严格按照财政统一要求，规范编制事前绩效报告，为财政资金发挥效益奠定坚实基础。二是在落实绩效“双监控”方面，以年度支出计划为基础，每月对预算执行和绩效目标落实情况进行跟踪分析。依托财政预算绩效管理平台，分别在5月和8月对预算执行动态进行全面、深入的实时监控，重点关注项目进度、资金使用合规性、绩效目标完成情况等关键环节。三是在扎实开展自评工作方面，对全年预算项目进行逐一梳理和评估。根据年初设定的绩效目标和指标体系，对照项目实际执行情况，对每个项目的绩效完成情况进行客观公正的评价。同时，对整体支出绩效进行综合评价，总结经验教训，查找存在的问题和不足，为下一年度预算编制和绩效管理提供参考依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4.信息公开</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新地乡人民政府高度重视信息公开工作，严格按照相关要求，在裕民县人民政府门户网站、塔城地区财政局门户网站公开部门预算信息，同步公开绩效目标表。在预算执行结束后，及时在上述网站公开部门决算信息，同步公开自评表及自评报告主动接受社会监督。通过信息公开，增强了财政资金使用的透明度，提高了政府公信力，促进了预算管理工作的规范化和科学化。</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（二）部门单位整体支出使用情况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1.基本支出情况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2024年基本支出1371.96251万元，包括工资福利支出1267.378348万元，商品和服务支出82.691962万元，对个人和家庭的补助21.8922万元，资本性支出0万元。其中：“三公”经费支出4.567904万元，比上年增加0.567904万元，主要原因是综合执法办公室、农业发展服务中心等部门因地域广、任务多，公务用车使用频繁，燃油费、维修保养费增加，导致“三公”经费上升；会议费支出0万元，与上年持平，主要原因是借助即时通讯工具和视频会议系统推行线上办公，减少线下会议。对于必要会议，严格审批，控制规模和时间，尽量选择乡政府会议室，有效控制了会议费支出；培训费支出5.1995万元，比上年增加2.6782万元，主要原因是为提升工作人员能力，积极派工作人员去外地培训，如学习法律法规和执法程序、乡村振兴战略、基层治理等培训活动，培训范围和内容扩大使得培训费支出增加。</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2.专项资金支出情况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2024年，裕民县新地乡专项项目支出达3344.37742万元，占总支出的70.9％。这些资金主要聚焦于农村基础设施建设、农业生产发展和公共服务提升等关键领域，有力推动了新地乡的全面发展。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在农村基础设施建设方面，专项资金大量投入农村基础设施建设，涵盖道路、水利、污水处理等多个方面。在道路建设上，新地乡借助塔地财振[2024]5号、塔地财振[2024]6号等文件支持的项目，对木乎尔村、团结西村等多个村庄的村组道路进行新建和修缮，改善交通条件，方便村民出行与农产品运输，促进乡村经济交流。水利设施建设方面，塔地财建[2023]98号、塔地财建[2024]43号文件涉及的库鲁斯台草原生态保护项目中的水利工程，以及各村庄的防渗渠建设项目，有效提升了农田灌溉能力，保障农业生产用水需求。此外，前进村农村污水治理项目，改善了农村生态环境，提高村民生活质量，为乡村可持续发展奠定基础。</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是在农业生产发展方面，专项资金助力农业生产发展，推动产业升级与农民增收。抗灾保畜项目增强了新地乡应对自然灾害的能力，保障畜牧业稳定发展。新地乡木乎尔一村仓储库项目土地出让金的投入，为农产品储存和流通创造条件，减少农产品损耗，提升经济效益。养殖圈舍建设及配套附属设施项目，塔地财振[2023]11号文件支持的项目，扩大了养殖规模，提高养殖效率，促进畜牧业现代化发展。农产品初步和加工项目（乌尔吉也克村）等，延长农业产业链，增加农产品附加值，提高农民收入水平，推动农业产业多元化发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是公共服务提升方面，专项资金用于提升公共服务水平，丰富村民精神文化生活，完善社会保障体系。塔地财教[2023]86号、塔地财教[2023]77号等文件支持的美术馆、公共图书馆、文化馆（站）免费开放补助项目，以及新时代文明实践中心建设项目，为村民提供了文化活动场所，组织各类文化活动，传播先进文化，满足村民精神文化需求，促进乡村文化繁荣。农村劳动力以奖代补资金、自治区</w:t>
      </w:r>
      <w:r>
        <w:rPr>
          <w:rFonts w:hint="eastAsia" w:ascii="仿宋_GB2312" w:hAnsi="宋体" w:eastAsia="仿宋_GB2312"/>
          <w:b/>
          <w:sz w:val="32"/>
          <w:szCs w:val="32"/>
          <w:lang w:eastAsia="zh-CN"/>
        </w:rPr>
        <w:t>JHSY</w:t>
      </w:r>
      <w:r>
        <w:rPr>
          <w:rFonts w:hint="eastAsia" w:ascii="仿宋_GB2312" w:hAnsi="宋体" w:eastAsia="仿宋_GB2312"/>
          <w:b/>
          <w:sz w:val="32"/>
          <w:szCs w:val="32"/>
        </w:rPr>
        <w:t>补助资金等，提高了村民的社会保障水平，缓解生活压力，促进社会和谐稳定。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3.部门单位专项组织实施情况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年初，我单位针对农村基础设施建设、农业生产发展、公共服务提升等重点领域，分别制定并下发了相应专项工作计划，对各个项目的工作分工进行了细致划分，依据各部门职能与人员专长明确任务分配，确保责任落实到人；同时，对资金落实渠道、金额及到位时间作出明确安排，保障项目资金支持；还为每个项目设定了严格的完成时限，以确保项目能够保质、保量、按时完成。截至2024年12月31日，在已开展的专项工作中，完成专项42个，未完成专项1个。</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为规范专项资金使用，提高专项资金使用效益，我乡严格落实以下四项关键措施，确保专项资金专款专用。一是完善制度建设，贯彻执行资金管理办法，在资金使用过程中，严格按照规定的审批流程办理各项手续。对于涉及“三重一大”（重大决策、重要人事任免、重大项目安排和大额资金使用）的内容，严格按照规定提请乡党委会议审议决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二是规范账务管理，为农村基础设施建设、农业生产发展、公共服务提升等专项资金分别建立专账，对每一笔资金的收入和支出进行详细、准确的记录。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是优化项目规划，针对塔地财振[2024]6号裕民县新地乡团结西村、新地北村、木乎尔村村组道路建设项目、塔地财振[2023]11号裕民县新地乡新地西村、新地南村、团结东村三个防渗渠财政以工代赈项目等重点项目，制定全面且细致的实施方案。在实施方案中，明确项目的建设目标、具体建设内容、详细的实施步骤以及各部门和人员的责任分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是严格项目验收，成立由乡领导、相关领域专业技术人员以及村民代表组成的项目验收小组。依据项目实施方案和相关行业标准，对项目的建设质量、资金使用情况、项目完成程度等方面进行全面、严格的检查验收。</w:t>
      </w:r>
    </w:p>
    <w:p>
      <w:pPr>
        <w:numPr>
          <w:ilvl w:val="0"/>
          <w:numId w:val="1"/>
        </w:numPr>
        <w:snapToGrid w:val="0"/>
        <w:spacing w:line="540" w:lineRule="exact"/>
        <w:rPr>
          <w:rFonts w:hint="eastAsia" w:ascii="黑体" w:hAnsi="黑体" w:eastAsia="黑体" w:cs="宋体"/>
          <w:color w:val="333333"/>
          <w:sz w:val="32"/>
          <w:szCs w:val="32"/>
          <w:lang w:bidi="ar"/>
        </w:rPr>
      </w:pPr>
      <w:r>
        <w:rPr>
          <w:rFonts w:ascii="黑体" w:hAnsi="黑体" w:eastAsia="黑体" w:cs="宋体"/>
          <w:color w:val="333333"/>
          <w:sz w:val="32"/>
          <w:szCs w:val="32"/>
          <w:lang w:bidi="ar"/>
        </w:rPr>
        <w:t>部门单位整体支出绩效分析</w:t>
      </w:r>
    </w:p>
    <w:p>
      <w:pPr>
        <w:spacing w:line="600" w:lineRule="exact"/>
        <w:ind w:left="1273" w:leftChars="600" w:hanging="13" w:hangingChars="4"/>
        <w:jc w:val="left"/>
        <w:rPr>
          <w:rFonts w:hint="eastAsia" w:ascii="仿宋_GB2312" w:hAnsi="宋体" w:eastAsia="仿宋_GB2312"/>
          <w:b/>
          <w:sz w:val="32"/>
          <w:szCs w:val="32"/>
        </w:rPr>
      </w:pPr>
      <w:r>
        <w:rPr>
          <w:rFonts w:hint="eastAsia" w:ascii="仿宋_GB2312" w:hAnsi="宋体" w:eastAsia="仿宋_GB2312"/>
          <w:b/>
          <w:sz w:val="32"/>
          <w:szCs w:val="32"/>
        </w:rPr>
        <w:t>（一）预算执行情况分析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2024年裕民县新地乡人民政府总支出4716.33993万元，预算执行率99.62%，其中一般公共服务支出473.177145万元、文化旅游体育与传媒支出63.146021万元、社会保障和就业支出240.563463万元、卫生健康支出61.943033万元、节能环保支出7.8万元、城乡社区支出89.753438万元、农林水支出3670.460271万元、住房保障支出104.8965万元、其他支出4.600059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1.基本支出使用情况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2024年，裕民县新地乡人民政府基本支出1371.96351万元，占总支出的29.09％。其中：一般公共服务支出471.177145万元（含政府办公厅（室）及相关机构事务384.924301万元、财政事务84.092844万元等），文化旅游体育与传媒支出50.383021万元（广播电视50.383021万元），社会保障和就业支出239.683463万元（含人力资源和社会保障管理事务76.238134万元、机关事业单位基本养老保险缴费支出126.356352万元等），卫生健康支出59.003033万元（行政事业单位医疗59.003033万元），城乡社区支出21.255638万元，农林水支出425.56371万元，住房保障支出104.8965万元（住房公积金104.8965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2.项目支出使用情况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2024年，裕民县新地乡人民政府项目支出3344.37742万元，占总支出的70.91％。其中：一般公共服务支出2万元（</w:t>
      </w:r>
      <w:r>
        <w:rPr>
          <w:rFonts w:hint="eastAsia" w:ascii="仿宋_GB2312" w:hAnsi="宋体" w:eastAsia="仿宋_GB2312"/>
          <w:b/>
          <w:sz w:val="32"/>
          <w:szCs w:val="32"/>
          <w:lang w:eastAsia="zh-CN"/>
        </w:rPr>
        <w:t>JJ</w:t>
      </w:r>
      <w:r>
        <w:rPr>
          <w:rFonts w:hint="eastAsia" w:ascii="仿宋_GB2312" w:hAnsi="宋体" w:eastAsia="仿宋_GB2312"/>
          <w:b/>
          <w:sz w:val="32"/>
          <w:szCs w:val="32"/>
        </w:rPr>
        <w:t>监察事务2万元）；文化旅游体育与传媒支出12.7630万元（宣传文化发展专项支出17.63万元等）；社会保障和就业支出8800元；卫生健康支出2.94万元；节能环保支出7.8万元；城乡社区支出68.4978万元；农林水支出3244.896561万元（含农业农村108.1932万元、巩固拓展脱贫攻坚成果衔接乡村振兴260.067</w:t>
      </w:r>
      <w:bookmarkStart w:id="2" w:name="_GoBack"/>
      <w:bookmarkEnd w:id="2"/>
      <w:r>
        <w:rPr>
          <w:rFonts w:hint="eastAsia" w:ascii="仿宋_GB2312" w:hAnsi="宋体" w:eastAsia="仿宋_GB2312"/>
          <w:b/>
          <w:sz w:val="32"/>
          <w:szCs w:val="32"/>
        </w:rPr>
        <w:t>065万元等）；其他支出4.600059万元。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（二）部门单位整体支出绩效指标完成情况分析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年初我单位设置部门整体绩效目标中包括一级指标1个分别为履职效能，二级指标2个，三级指标8个，指标完成情况分析如下：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1.履职效能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（1）数量指标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打造自治区示范村数量，指标值：＞＝1个，年中监控完成值：1个，自评完成值：1个，指标完成率100%，指标成效分析前进村通过优化产业结构、完善基础设施建设、创新基层治理模式、推进人居环境整治等措施，全面提升乡村综合发展水平，为全乡乡村建设提供了典型经验与示范样板。</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流动人口管理数量，指标值：＞＝1105人，年中监控完成值：811人，自评完成值：1383人，指标完成率100%，指标成效分析通过完成流动人口管理工作，有效提升乡村治理效能，为构建和谐社会奠定坚实基础。</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全年完成发放低保补贴人数，指标值：＞＝256人，年中监控完成值：259人，自评完成值：272人，指标完成率100%，指标成效分析通过低保补贴工作的扎实推进，有效缓解乡村困难群众生活压力，巩固脱贫成果，助力乡村振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4：劳动力就业转移人数，指标值：＞＝1121人，年中监控完成值：480人，自评完成值：1207人，指标完成率100%，指标成效分析通过开展技能培训、搭建就业平台、落实就业帮扶政策等工作，有效促进乡村经济发展与社会稳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5：开展各类志愿服务场次数，指标值：＞＝1280场次，年中监控完成值：630场次，自评完成值：1330场次，指标完成率100%，指标成效分析通过开展志愿服务活动，将文明实践深度融入百姓日常生活，以“浸润式”服务推动新时代文明实践工作走深走实，绘就基层治理与民生幸福的崭新画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6：为民办理实事好事件数，指标值：＞＝386件，年中监控完成值：201件，自评完成值：465件，指标完成率100%，指标成效分析通过聚焦群众急难愁盼问题，以务实举措推进民生服务提质增效，切实增强群众获得感与幸福感。</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7：全年开展安全生产检查次数，指标值：＞＝30次，年中监控完成值：18次，自评完成值：235次，指标完成率100%，指标成效分析通过完成安全生产检查工作，严格隐患排查治理，强化安全监管执法检查，遏制各类安全生产事故的发生，有效维护了我乡人民群众的生命财产安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（2）质量指标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活动覆盖率，指标值：＝100%，年中监控完成值：100%，自评完成值：=100%，指标完成率100%，指标成效分析通过统筹资源整合、创新组织形式、精确对按需求等举措，新地乡各类活动覆盖率显著提升，有效丰富群众精神文化生活，增强基层凝聚力。</w:t>
      </w:r>
    </w:p>
    <w:p>
      <w:pPr>
        <w:numPr>
          <w:ilvl w:val="0"/>
          <w:numId w:val="1"/>
        </w:numPr>
        <w:snapToGrid w:val="0"/>
        <w:spacing w:line="540" w:lineRule="exact"/>
        <w:rPr>
          <w:rFonts w:hint="eastAsia" w:ascii="黑体" w:hAnsi="黑体" w:eastAsia="黑体" w:cs="宋体"/>
          <w:bCs/>
          <w:color w:val="333333"/>
          <w:sz w:val="32"/>
          <w:szCs w:val="32"/>
          <w:lang w:bidi="ar"/>
        </w:rPr>
      </w:pPr>
      <w:r>
        <w:rPr>
          <w:rFonts w:hint="eastAsia" w:ascii="黑体" w:hAnsi="黑体" w:eastAsia="黑体" w:cs="宋体"/>
          <w:bCs/>
          <w:color w:val="333333"/>
          <w:sz w:val="32"/>
          <w:szCs w:val="32"/>
          <w:lang w:bidi="ar"/>
        </w:rPr>
        <w:t>评价结论</w:t>
      </w:r>
    </w:p>
    <w:p>
      <w:pPr>
        <w:spacing w:line="600" w:lineRule="exact"/>
        <w:ind w:left="1276" w:firstLine="13" w:firstLineChars="4"/>
        <w:jc w:val="left"/>
        <w:rPr>
          <w:rFonts w:hint="eastAsia" w:ascii="仿宋_GB2312" w:hAnsi="宋体" w:eastAsia="仿宋_GB2312"/>
          <w:b/>
          <w:sz w:val="32"/>
          <w:szCs w:val="32"/>
        </w:rPr>
      </w:pPr>
      <w:r>
        <w:rPr>
          <w:rFonts w:hint="eastAsia" w:ascii="仿宋_GB2312" w:hAnsi="宋体" w:eastAsia="仿宋_GB2312"/>
          <w:b/>
          <w:sz w:val="32"/>
          <w:szCs w:val="32"/>
        </w:rPr>
        <w:t>2024年度部门整体支出绩效评价综合得分90分，评价结果为“优”。这一年，在运行成本控制、管理效率提升、履职效能发挥、社会效益创造、可持续发展能力建设以及服务对象满意度提高等方面均取得了显著成效。尽管部分指标存在一定偏差，但及时分析原因并采取了有效的改进措施。未来，将继续保持优势，持续优化工作流程，强化项目管理和监督，进一步加强与群众的沟通交流，不断提升整体绩效水平，为地区的繁荣发展和群众的幸福生活提供更坚实的保障，努力保持“优”的评价成绩，并追求更高质量的发展。</w:t>
      </w:r>
    </w:p>
    <w:p>
      <w:pPr>
        <w:numPr>
          <w:ilvl w:val="0"/>
          <w:numId w:val="1"/>
        </w:numPr>
        <w:snapToGrid w:val="0"/>
        <w:spacing w:line="540" w:lineRule="exact"/>
        <w:rPr>
          <w:rFonts w:hint="eastAsia"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存在的主要问题及原因分析</w:t>
      </w:r>
    </w:p>
    <w:p>
      <w:pPr>
        <w:spacing w:line="600" w:lineRule="exact"/>
        <w:ind w:left="1276" w:firstLine="13" w:firstLineChars="4"/>
        <w:jc w:val="left"/>
        <w:rPr>
          <w:rFonts w:hint="eastAsia" w:ascii="仿宋_GB2312" w:hAnsi="宋体" w:eastAsia="仿宋_GB2312"/>
          <w:b/>
          <w:sz w:val="32"/>
          <w:szCs w:val="32"/>
        </w:rPr>
      </w:pPr>
      <w:r>
        <w:rPr>
          <w:rFonts w:hint="eastAsia" w:ascii="仿宋_GB2312" w:hAnsi="宋体" w:eastAsia="仿宋_GB2312"/>
          <w:b/>
          <w:sz w:val="32"/>
          <w:szCs w:val="32"/>
        </w:rPr>
        <w:t>（一）绩效指标设置不够明确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在绩效指标构建方面，我单位部分绩效指标存在冗余繁杂的状况，未能精准提炼关键考核点，使得重点不突出。同时，部分指标由于缺乏明确的数据统计口径与方法，实际操作中难以获取准确数据，导致无法有效衡量绩效。另外，一些指标值设定过于保守，缺乏挑战性，无法充分激发工作活力。且大量采用定性指标，缺乏量化标准，在绩效评价时易受主观因素干扰，科学性与合理性亟待提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（二）固定资产账务管理不够细致、严谨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通过对固定资产账务管理工作的抽查，发现存在诸多漏洞。入账流程存在拖延现象，未能在资产购置或变动的规定时间内及时入账，导致资产信息更新滞后。甚至存在部分资产遗漏入账的情况，使资产账实不符。入账时，资产名称、规格型号、购置日期等关键信息填写不全或错误，金额核算也存在偏差。资产台账记录模糊，未明确到具体使用人，在资产清查、盘点及责任追溯时，难以精准定位，不利于资产的全生命周期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（三）项目监督工作存在薄弱环节</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目前，项目实施过程中，缺乏一套完整且流畅的上报、跟踪、反馈体系。项目执行单位对项目进展情况的汇报不及时、不全面，上级监管部门难以及时掌握项目动态。跟踪机制不完善，不能对项目实施的各个环节进行有效监控，对于项目中出现的问题难以及时察觉并解决。反馈渠道不畅通，项目参与方的意见和建议无法高效传递，导致监管措施无法根据实际情况灵活调整，难以保障项目资金使用规范、项目实施顺利推进。</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（四）预算执行缺乏有效管控</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预算执行过程中，存在随意调整预算项目和金额的情况，缺乏严格的审批流程和规范。部分项目资金使用未按照预算计划进行，存在资金挪用、滥用现象，导致一些重点项目资金短缺，而部分非关键项目资金冗余。同时，对预算执行进度的监控不到位，未能及时发现预算执行偏差并采取纠正措施，使得实际支出与预算目标偏离度逐渐增大，影响了预算的权威性和资金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（五）业务与财务融合度低</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业务部门与财务部门之间缺乏有效的沟通协作机制。业务开展过程中，财务部门未能提前介入，导致财务预算与业务实际需求脱节。财务部门对业务活动的特点和流程了解不足，在制定财务政策和预算时，难以充分考虑业务的实际情况。而业务部门对财务规则和要求认识不够，在业务执行中不注重财务规范，造成财务数据无法准确反映业务真实情况，不利于单位整体资源的合理配置和风险管控。</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（六）人员专业能力有待提升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随着财政财务管理政策不断更新，单位部分人员专业知识储备不足，对新的绩效评价方法、财务会计准则、资产管理规定等理解不透、掌握不牢。在实际工作中，难以准确运用相关政策法规处理业务，工作效率和质量受到影响。同时，缺乏持续学习和培训的动力与机会，知识体系得不到及时更新，面对日益复杂的工作任务和监管要求，显得力不从心。</w:t>
      </w:r>
    </w:p>
    <w:p>
      <w:pPr>
        <w:numPr>
          <w:ilvl w:val="0"/>
          <w:numId w:val="1"/>
        </w:numPr>
        <w:snapToGrid w:val="0"/>
        <w:spacing w:line="540" w:lineRule="exact"/>
        <w:rPr>
          <w:rFonts w:hint="eastAsia"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pPr>
        <w:pStyle w:val="10"/>
        <w:spacing w:line="600" w:lineRule="exact"/>
        <w:ind w:left="1368" w:firstLine="0" w:firstLineChars="0"/>
        <w:jc w:val="left"/>
        <w:rPr>
          <w:rFonts w:hint="eastAsia" w:ascii="仿宋_GB2312" w:hAnsi="宋体" w:eastAsia="仿宋_GB2312"/>
          <w:b/>
          <w:sz w:val="32"/>
          <w:szCs w:val="32"/>
        </w:rPr>
      </w:pPr>
      <w:r>
        <w:rPr>
          <w:rFonts w:hint="eastAsia" w:ascii="仿宋_GB2312" w:hAnsi="宋体" w:eastAsia="仿宋_GB2312"/>
          <w:b/>
          <w:sz w:val="32"/>
          <w:szCs w:val="32"/>
        </w:rPr>
        <w:t>（一）优化绩效指标体系</w:t>
      </w:r>
      <w:r>
        <w:rPr>
          <w:rFonts w:hint="eastAsia" w:ascii="仿宋_GB2312" w:hAnsi="宋体" w:eastAsia="仿宋_GB2312"/>
          <w:b/>
          <w:sz w:val="32"/>
          <w:szCs w:val="32"/>
        </w:rPr>
        <w:br w:type="textWrapping"/>
      </w:r>
      <w:r>
        <w:rPr>
          <w:rFonts w:hint="eastAsia" w:ascii="仿宋_GB2312" w:hAnsi="宋体" w:eastAsia="仿宋_GB2312"/>
          <w:b/>
          <w:sz w:val="32"/>
          <w:szCs w:val="32"/>
        </w:rPr>
        <w:t>组织财政工作人员梳理绩效指标，剔除冗余内容，聚焦乡村振兴、民生保障等核心工作，提炼关键考核点。结合历史工作数据与乡域发展规划，科学调整指标值，设置适度挑战性目标激发工作动力。将定性指标转化为量化标准，如通过问卷调查、数据统计等方式，减少绩效评价主观因素，提升指标科学性。？</w:t>
      </w:r>
      <w:r>
        <w:rPr>
          <w:rFonts w:hint="eastAsia" w:ascii="仿宋_GB2312" w:hAnsi="宋体" w:eastAsia="仿宋_GB2312"/>
          <w:b/>
          <w:sz w:val="32"/>
          <w:szCs w:val="32"/>
        </w:rPr>
        <w:br w:type="textWrapping"/>
      </w:r>
      <w:r>
        <w:rPr>
          <w:rFonts w:hint="eastAsia" w:ascii="仿宋_GB2312" w:hAnsi="宋体" w:eastAsia="仿宋_GB2312"/>
          <w:b/>
          <w:sz w:val="32"/>
          <w:szCs w:val="32"/>
        </w:rPr>
        <w:t>（二）规范固定资产管理？</w:t>
      </w:r>
      <w:r>
        <w:rPr>
          <w:rFonts w:hint="eastAsia" w:ascii="仿宋_GB2312" w:hAnsi="宋体" w:eastAsia="仿宋_GB2312"/>
          <w:b/>
          <w:sz w:val="32"/>
          <w:szCs w:val="32"/>
        </w:rPr>
        <w:br w:type="textWrapping"/>
      </w:r>
      <w:r>
        <w:rPr>
          <w:rFonts w:hint="eastAsia" w:ascii="仿宋_GB2312" w:hAnsi="宋体" w:eastAsia="仿宋_GB2312"/>
          <w:b/>
          <w:sz w:val="32"/>
          <w:szCs w:val="32"/>
        </w:rPr>
        <w:t>实行资产入账“三审制”，由使用部门、资产管理部门、财务部门依次核对发票、合同等资料，重点核查关键信息，对错误信息及时整改并追究责任，确保账实相符。？</w:t>
      </w:r>
      <w:r>
        <w:rPr>
          <w:rFonts w:hint="eastAsia" w:ascii="仿宋_GB2312" w:hAnsi="宋体" w:eastAsia="仿宋_GB2312"/>
          <w:b/>
          <w:sz w:val="32"/>
          <w:szCs w:val="32"/>
        </w:rPr>
        <w:br w:type="textWrapping"/>
      </w:r>
      <w:r>
        <w:rPr>
          <w:rFonts w:hint="eastAsia" w:ascii="仿宋_GB2312" w:hAnsi="宋体" w:eastAsia="仿宋_GB2312"/>
          <w:b/>
          <w:sz w:val="32"/>
          <w:szCs w:val="32"/>
        </w:rPr>
        <w:t>（三）强化项目监督管理？</w:t>
      </w:r>
      <w:r>
        <w:rPr>
          <w:rFonts w:hint="eastAsia" w:ascii="仿宋_GB2312" w:hAnsi="宋体" w:eastAsia="仿宋_GB2312"/>
          <w:b/>
          <w:sz w:val="32"/>
          <w:szCs w:val="32"/>
        </w:rPr>
        <w:br w:type="textWrapping"/>
      </w:r>
      <w:r>
        <w:rPr>
          <w:rFonts w:hint="eastAsia" w:ascii="仿宋_GB2312" w:hAnsi="宋体" w:eastAsia="仿宋_GB2312"/>
          <w:b/>
          <w:sz w:val="32"/>
          <w:szCs w:val="32"/>
        </w:rPr>
        <w:t>按照项目相关管理办法，明确项目申报、实施、验收全流程责任与要求，建立“红黄绿”三色预警机制监控项目进度，要求执行单位每月线上汇报进展、资金使用及问题，开通反馈通道收集各方意见。针对重大项目，聘请工程监理、财务审计等第三方机构参与监管，定期组织人大代表、村民代表实地检查，保障项目规范推进。？</w:t>
      </w:r>
      <w:r>
        <w:rPr>
          <w:rFonts w:hint="eastAsia" w:ascii="仿宋_GB2312" w:hAnsi="宋体" w:eastAsia="仿宋_GB2312"/>
          <w:b/>
          <w:sz w:val="32"/>
          <w:szCs w:val="32"/>
        </w:rPr>
        <w:br w:type="textWrapping"/>
      </w:r>
      <w:r>
        <w:rPr>
          <w:rFonts w:hint="eastAsia" w:ascii="仿宋_GB2312" w:hAnsi="宋体" w:eastAsia="仿宋_GB2312"/>
          <w:b/>
          <w:sz w:val="32"/>
          <w:szCs w:val="32"/>
        </w:rPr>
        <w:t>（四）加强预算执行管控？</w:t>
      </w:r>
      <w:r>
        <w:rPr>
          <w:rFonts w:hint="eastAsia" w:ascii="仿宋_GB2312" w:hAnsi="宋体" w:eastAsia="仿宋_GB2312"/>
          <w:b/>
          <w:sz w:val="32"/>
          <w:szCs w:val="32"/>
        </w:rPr>
        <w:br w:type="textWrapping"/>
      </w:r>
      <w:r>
        <w:rPr>
          <w:rFonts w:hint="eastAsia" w:ascii="仿宋_GB2312" w:hAnsi="宋体" w:eastAsia="仿宋_GB2312"/>
          <w:b/>
          <w:sz w:val="32"/>
          <w:szCs w:val="32"/>
        </w:rPr>
        <w:t>严格规范预算调整条件、程序与审批权限，实行“一事一议”审议制度。开展预算执行专项检查，严查资金挪用、滥用行为，建立资金使用负面清单。利用预算管理系统实时监控执行进度，按月生成分析报告，对执行偏差大、进度滞后的项目，组织部门分析原因，暂缓资金拨付并重点督导，维护预算权威性。？</w:t>
      </w:r>
      <w:r>
        <w:rPr>
          <w:rFonts w:hint="eastAsia" w:ascii="仿宋_GB2312" w:hAnsi="宋体" w:eastAsia="仿宋_GB2312"/>
          <w:b/>
          <w:sz w:val="32"/>
          <w:szCs w:val="32"/>
        </w:rPr>
        <w:br w:type="textWrapping"/>
      </w:r>
      <w:r>
        <w:rPr>
          <w:rFonts w:hint="eastAsia" w:ascii="仿宋_GB2312" w:hAnsi="宋体" w:eastAsia="仿宋_GB2312"/>
          <w:b/>
          <w:sz w:val="32"/>
          <w:szCs w:val="32"/>
        </w:rPr>
        <w:t>（五）促进业财深度融合？</w:t>
      </w:r>
      <w:r>
        <w:rPr>
          <w:rFonts w:hint="eastAsia" w:ascii="仿宋_GB2312" w:hAnsi="宋体" w:eastAsia="仿宋_GB2312"/>
          <w:b/>
          <w:sz w:val="32"/>
          <w:szCs w:val="32"/>
        </w:rPr>
        <w:br w:type="textWrapping"/>
      </w:r>
      <w:r>
        <w:rPr>
          <w:rFonts w:hint="eastAsia" w:ascii="仿宋_GB2312" w:hAnsi="宋体" w:eastAsia="仿宋_GB2312"/>
          <w:b/>
          <w:sz w:val="32"/>
          <w:szCs w:val="32"/>
        </w:rPr>
        <w:t>在各项业务规划阶段，邀请财务人员提前介入，提供预算编制、风险评估等建议；同时组织业务人员学习财务规范，掌握资金使用要求，确保财务预算贴合业务实际，实现资源合理配置。？</w:t>
      </w:r>
      <w:r>
        <w:rPr>
          <w:rFonts w:hint="eastAsia" w:ascii="仿宋_GB2312" w:hAnsi="宋体" w:eastAsia="仿宋_GB2312"/>
          <w:b/>
          <w:sz w:val="32"/>
          <w:szCs w:val="32"/>
        </w:rPr>
        <w:br w:type="textWrapping"/>
      </w:r>
      <w:r>
        <w:rPr>
          <w:rFonts w:hint="eastAsia" w:ascii="仿宋_GB2312" w:hAnsi="宋体" w:eastAsia="仿宋_GB2312"/>
          <w:b/>
          <w:sz w:val="32"/>
          <w:szCs w:val="32"/>
        </w:rPr>
        <w:t>（六）提升人员专业能力？</w:t>
      </w:r>
      <w:r>
        <w:rPr>
          <w:rFonts w:hint="eastAsia" w:ascii="仿宋_GB2312" w:hAnsi="宋体" w:eastAsia="仿宋_GB2312"/>
          <w:b/>
          <w:sz w:val="32"/>
          <w:szCs w:val="32"/>
        </w:rPr>
        <w:br w:type="textWrapping"/>
      </w:r>
      <w:r>
        <w:rPr>
          <w:rFonts w:hint="eastAsia" w:ascii="仿宋_GB2312" w:hAnsi="宋体" w:eastAsia="仿宋_GB2312"/>
          <w:b/>
          <w:sz w:val="32"/>
          <w:szCs w:val="32"/>
        </w:rPr>
        <w:t>每季度开展财政政策、绩效评价、资产管理等专题培训，邀请专家结合新地乡实际案例授课。建立“以老带新”结对学习机制，促进经验传承。鼓励员工参加会计、审计等职业资格考试，对取得证书者给予奖励，营造学习氛围，提升人员专业素养，适应财政管理新要求。</w:t>
      </w:r>
    </w:p>
    <w:p>
      <w:pPr>
        <w:spacing w:line="600" w:lineRule="exact"/>
        <w:ind w:firstLine="624" w:firstLineChars="200"/>
        <w:jc w:val="left"/>
        <w:rPr>
          <w:rFonts w:hint="eastAsia" w:ascii="黑体" w:hAnsi="黑体" w:eastAsia="黑体" w:cs="宋体"/>
          <w:b/>
          <w:color w:val="333333"/>
          <w:lang w:bidi="ar"/>
        </w:rPr>
      </w:pPr>
      <w:r>
        <w:rPr>
          <w:rStyle w:val="7"/>
          <w:rFonts w:hint="eastAsia" w:ascii="黑体" w:hAnsi="黑体" w:eastAsia="黑体"/>
          <w:b w:val="0"/>
          <w:bCs w:val="0"/>
          <w:spacing w:val="-4"/>
          <w:sz w:val="32"/>
          <w:szCs w:val="32"/>
        </w:rPr>
        <w:t>七、</w:t>
      </w:r>
      <w:r>
        <w:rPr>
          <w:rFonts w:hint="eastAsia" w:ascii="黑体" w:hAnsi="黑体" w:eastAsia="黑体" w:cs="宋体"/>
          <w:bCs/>
          <w:color w:val="333333"/>
          <w:sz w:val="32"/>
          <w:szCs w:val="32"/>
          <w:lang w:bidi="ar"/>
        </w:rPr>
        <w:t>附表：《部门整体支出绩效自评表》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0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047DC0"/>
    <w:rsid w:val="00161D24"/>
    <w:rsid w:val="001C7F2C"/>
    <w:rsid w:val="00257E3B"/>
    <w:rsid w:val="00340E58"/>
    <w:rsid w:val="003E45AA"/>
    <w:rsid w:val="00400A45"/>
    <w:rsid w:val="004E239D"/>
    <w:rsid w:val="00584481"/>
    <w:rsid w:val="005D480C"/>
    <w:rsid w:val="00653C1A"/>
    <w:rsid w:val="007B51CE"/>
    <w:rsid w:val="007E47F4"/>
    <w:rsid w:val="00861DC7"/>
    <w:rsid w:val="008F0DCE"/>
    <w:rsid w:val="00916058"/>
    <w:rsid w:val="00942B0B"/>
    <w:rsid w:val="00A958AA"/>
    <w:rsid w:val="00AB72C1"/>
    <w:rsid w:val="00B2568B"/>
    <w:rsid w:val="00B36B8D"/>
    <w:rsid w:val="00C10BB4"/>
    <w:rsid w:val="00CB0ED2"/>
    <w:rsid w:val="00CE0C6C"/>
    <w:rsid w:val="00DB647F"/>
    <w:rsid w:val="00DC7E33"/>
    <w:rsid w:val="00E8616A"/>
    <w:rsid w:val="00EB3604"/>
    <w:rsid w:val="00FB299F"/>
    <w:rsid w:val="28C0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link w:val="1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0"/>
    <w:rPr>
      <w:b/>
      <w:bCs/>
    </w:rPr>
  </w:style>
  <w:style w:type="character" w:customStyle="1" w:styleId="8">
    <w:name w:val="页眉 字符"/>
    <w:basedOn w:val="6"/>
    <w:link w:val="4"/>
    <w:uiPriority w:val="99"/>
    <w:rPr>
      <w:sz w:val="18"/>
      <w:szCs w:val="18"/>
    </w:rPr>
  </w:style>
  <w:style w:type="character" w:customStyle="1" w:styleId="9">
    <w:name w:val="页脚 字符"/>
    <w:basedOn w:val="6"/>
    <w:link w:val="3"/>
    <w:uiPriority w:val="99"/>
    <w:rPr>
      <w:sz w:val="18"/>
      <w:szCs w:val="18"/>
    </w:rPr>
  </w:style>
  <w:style w:type="paragraph" w:styleId="10">
    <w:name w:val="List Paragraph"/>
    <w:basedOn w:val="1"/>
    <w:qFormat/>
    <w:uiPriority w:val="99"/>
    <w:pPr>
      <w:ind w:firstLine="420" w:firstLineChars="200"/>
    </w:pPr>
  </w:style>
  <w:style w:type="character" w:customStyle="1" w:styleId="11">
    <w:name w:val="标题 4 字符"/>
    <w:basedOn w:val="6"/>
    <w:link w:val="2"/>
    <w:semiHidden/>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58</Words>
  <Characters>336</Characters>
  <Lines>2</Lines>
  <Paragraphs>1</Paragraphs>
  <TotalTime>26</TotalTime>
  <ScaleCrop>false</ScaleCrop>
  <LinksUpToDate>false</LinksUpToDate>
  <CharactersWithSpaces>393</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2025-09-29T10:23:50Z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B71D4CCB475D44FDA38ED501F14EC8FF</vt:lpwstr>
  </property>
</Properties>
</file>