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（1）负责全县大中专毕业生、下岗失业人员复转退伍军人、农村富余劳动力、城镇新成长劳动力等技能培训和转移就业培训的组织实施工作。</w:t>
      </w:r>
    </w:p>
    <w:p>
      <w:pPr>
        <w:spacing w:line="580" w:lineRule="exact"/>
        <w:ind w:firstLine="640"/>
        <w:jc w:val="both"/>
      </w:pPr>
      <w:r>
        <w:rPr>
          <w:rFonts w:ascii="仿宋_GB2312" w:hAnsi="仿宋_GB2312" w:eastAsia="仿宋_GB2312"/>
          <w:sz w:val="32"/>
        </w:rPr>
        <w:t>（2）负责开展全县农牧民科学技术培训工作。</w:t>
      </w:r>
    </w:p>
    <w:p>
      <w:pPr>
        <w:spacing w:line="580" w:lineRule="exact"/>
        <w:ind w:firstLine="640"/>
        <w:jc w:val="both"/>
      </w:pPr>
      <w:r>
        <w:rPr>
          <w:rFonts w:ascii="仿宋_GB2312" w:hAnsi="仿宋_GB2312" w:eastAsia="仿宋_GB2312"/>
          <w:sz w:val="32"/>
        </w:rPr>
        <w:t>（3）承办县委、县政府及主管部门交办的其他工作。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裕民县技工学校2024年度，实有人数17人，其中：在职人员17人，增加3人；离休人员0人，增加0人；退休人员0人,增加0人。</w:t>
      </w:r>
    </w:p>
    <w:p>
      <w:pPr>
        <w:spacing w:line="580" w:lineRule="exact"/>
        <w:ind w:firstLine="640"/>
        <w:jc w:val="both"/>
      </w:pPr>
      <w:r>
        <w:rPr>
          <w:rFonts w:ascii="仿宋_GB2312" w:hAnsi="仿宋_GB2312" w:eastAsia="仿宋_GB2312"/>
          <w:sz w:val="32"/>
        </w:rPr>
        <w:t>裕民县技工学校无下属预算单位，下设6个科室，分别是：办公室、财务室、教务教学室、培训室、招生就业室（人力资源服务站）、总务室。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2024年度收入总计410.93万元，</w:t>
      </w:r>
      <w:r>
        <w:rPr>
          <w:rFonts w:ascii="仿宋_GB2312" w:hAnsi="仿宋_GB2312" w:eastAsia="仿宋_GB2312"/>
          <w:b w:val="0"/>
          <w:sz w:val="32"/>
        </w:rPr>
        <w:t>其中：本年收入合计401.88万元，使用非财政拨款结余（含专用结余）0.00万元，年初结转和结余9.04万元。</w:t>
      </w:r>
    </w:p>
    <w:p>
      <w:pPr>
        <w:spacing w:line="580" w:lineRule="exact"/>
        <w:ind w:firstLine="640"/>
        <w:jc w:val="both"/>
      </w:pPr>
      <w:r>
        <w:rPr>
          <w:rFonts w:ascii="仿宋_GB2312" w:hAnsi="仿宋_GB2312" w:eastAsia="仿宋_GB2312"/>
          <w:b/>
          <w:sz w:val="32"/>
        </w:rPr>
        <w:t>2024年度支出总计410.93万元，</w:t>
      </w:r>
      <w:r>
        <w:rPr>
          <w:rFonts w:ascii="仿宋_GB2312" w:hAnsi="仿宋_GB2312" w:eastAsia="仿宋_GB2312"/>
          <w:b w:val="0"/>
          <w:sz w:val="32"/>
        </w:rPr>
        <w:t>其中：本年支出合计318.95万元，结余分配0.00万元，年末结转和结余91.98万元。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增加24.83万元，增长6.43%，主要原因是：本年在职人员增加3人，在职人员工资调增、社保、公积金基数调增，人员经费增加。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本年收入401.88万元，</w:t>
      </w:r>
      <w:r>
        <w:rPr>
          <w:rFonts w:ascii="仿宋_GB2312" w:hAnsi="仿宋_GB2312" w:eastAsia="仿宋_GB2312"/>
          <w:b w:val="0"/>
          <w:sz w:val="32"/>
        </w:rPr>
        <w:t>其中：财政拨款收入267.63万元，占66.59%；上级补助收入0.00万元，占0.00%；事业收入0.00万元，占0.00%；经营收入0.00万元，占0.00%；附属单位上缴收入0.00万元，占0.00%；其他收入134.26万元，占33.41%。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本年支出318.95万元，</w:t>
      </w:r>
      <w:r>
        <w:rPr>
          <w:rFonts w:ascii="仿宋_GB2312" w:hAnsi="仿宋_GB2312" w:eastAsia="仿宋_GB2312"/>
          <w:b w:val="0"/>
          <w:sz w:val="32"/>
        </w:rPr>
        <w:t>其中：基本支出258.92万元，占81.18%；项目支出60.03万元，占18.82%；上缴上级支出0.00万元，占0.00%；经营支出0.00万元，占0.00%；对附属单位补助支出0.00万元，占0.00%。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2024年度财政拨款收入总计267.63万元，</w:t>
      </w:r>
      <w:r>
        <w:rPr>
          <w:rFonts w:ascii="仿宋_GB2312" w:hAnsi="仿宋_GB2312" w:eastAsia="仿宋_GB2312"/>
          <w:b w:val="0"/>
          <w:sz w:val="32"/>
        </w:rPr>
        <w:t>其中：年初财政拨款结转和结余0.00万元，本年财政拨款收入267.63万元。</w:t>
      </w:r>
      <w:r>
        <w:rPr>
          <w:rFonts w:ascii="仿宋_GB2312" w:hAnsi="仿宋_GB2312" w:eastAsia="仿宋_GB2312"/>
          <w:b/>
          <w:sz w:val="32"/>
        </w:rPr>
        <w:t>财政拨款支出总计267.63万元，</w:t>
      </w:r>
      <w:r>
        <w:rPr>
          <w:rFonts w:ascii="仿宋_GB2312" w:hAnsi="仿宋_GB2312" w:eastAsia="仿宋_GB2312"/>
          <w:b w:val="0"/>
          <w:sz w:val="32"/>
        </w:rPr>
        <w:t>其中：年末财政拨款结转和结余0.00万元，本年财政拨款支出267.63万元。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增加54.85万元，增长25.78%，主要原因是：本年在职人员增加3人，工资调增，社保、公积金基数调增，人员经费增加。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年初预算数252.23万元，决算数267.63万元，预决算差异率6.11%，主要原因是：年中追加新增人员工资，在职人员工资、社保、公积金基数调增部分资金，导致预决算存在差异。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2024年度一般公共预算财政拨款支出267.63万元，</w:t>
      </w:r>
      <w:r>
        <w:rPr>
          <w:rFonts w:ascii="仿宋_GB2312" w:hAnsi="仿宋_GB2312" w:eastAsia="仿宋_GB2312"/>
          <w:b w:val="0"/>
          <w:sz w:val="32"/>
        </w:rPr>
        <w:t>占本年支出合计的83.91%。</w:t>
      </w:r>
      <w:r>
        <w:rPr>
          <w:rFonts w:ascii="仿宋_GB2312" w:hAnsi="仿宋_GB2312" w:eastAsia="仿宋_GB2312"/>
          <w:b/>
          <w:sz w:val="32"/>
        </w:rPr>
        <w:t>与上年相比，</w:t>
      </w:r>
      <w:r>
        <w:rPr>
          <w:rFonts w:ascii="仿宋_GB2312" w:hAnsi="仿宋_GB2312" w:eastAsia="仿宋_GB2312"/>
          <w:b w:val="0"/>
          <w:sz w:val="32"/>
        </w:rPr>
        <w:t>增加54.85万元，增长25.78%，主要原因是：本年新招录人员增加3人，在职人员工资调增、社保、公积金基数调增，人员经费增加。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年初预算数252.23万元，决算数267.63万元，预决算差异率6.11%，主要原因是：年中追加新增人员工资，在职人员工资、社保、公积金基数调增部分资金，导致预决算存在差异。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1.教育支出(类)214.10万元,占80.00%。</w:t>
      </w:r>
    </w:p>
    <w:p>
      <w:pPr>
        <w:spacing w:line="580" w:lineRule="exact"/>
        <w:ind w:firstLine="640"/>
        <w:jc w:val="both"/>
      </w:pPr>
      <w:r>
        <w:rPr>
          <w:rFonts w:ascii="仿宋_GB2312" w:hAnsi="仿宋_GB2312" w:eastAsia="仿宋_GB2312"/>
          <w:b w:val="0"/>
          <w:sz w:val="32"/>
        </w:rPr>
        <w:t>2.社会保障和就业支出(类)24.89万元,占9.30%。</w:t>
      </w:r>
    </w:p>
    <w:p>
      <w:pPr>
        <w:spacing w:line="580" w:lineRule="exact"/>
        <w:ind w:firstLine="640"/>
        <w:jc w:val="both"/>
      </w:pPr>
      <w:r>
        <w:rPr>
          <w:rFonts w:ascii="仿宋_GB2312" w:hAnsi="仿宋_GB2312" w:eastAsia="仿宋_GB2312"/>
          <w:b w:val="0"/>
          <w:sz w:val="32"/>
        </w:rPr>
        <w:t>3.卫生健康支出(类)10.17万元,占3.80%。</w:t>
      </w:r>
    </w:p>
    <w:p>
      <w:pPr>
        <w:spacing w:line="580" w:lineRule="exact"/>
        <w:ind w:firstLine="640"/>
        <w:jc w:val="both"/>
      </w:pPr>
      <w:r>
        <w:rPr>
          <w:rFonts w:ascii="仿宋_GB2312" w:hAnsi="仿宋_GB2312" w:eastAsia="仿宋_GB2312"/>
          <w:b w:val="0"/>
          <w:sz w:val="32"/>
        </w:rPr>
        <w:t>4.住房保障支出(类)18.47万元,占6.90%。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1.教育支出(类)职业教育(款)技校教育(项):支出决算数为214.10万元，比上年决算增加42.31万元，增长24.63%,主要原因是：本年新招录人员增加3人，在职人员工资调增，人员经费增加。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24.89万元，比上年决算增加6.34万元，增长34.18%,主要原因是：本年新招录人员增加3人，在职人员工资调增、社保基数调增，人员经费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3.卫生健康支出(类)行政事业单位医疗(款)事业单位医疗(项):支出决算数为10.17万元，比上年决算增加1.97万元，增长24.02%,主要原因是：本年新招录人员增加3人，在职人员工资调增，医疗基数调增，人员经费增加。</w:t>
      </w:r>
    </w:p>
    <w:p>
      <w:pPr>
        <w:spacing w:line="580" w:lineRule="exact"/>
        <w:ind w:firstLine="640"/>
        <w:jc w:val="both"/>
      </w:pPr>
      <w:r>
        <w:rPr>
          <w:rFonts w:ascii="仿宋_GB2312" w:hAnsi="仿宋_GB2312" w:eastAsia="仿宋_GB2312"/>
          <w:b w:val="0"/>
          <w:sz w:val="32"/>
        </w:rPr>
        <w:t>4.住房保障支出(类)住房改革支出(款)住房公积金(项):支出决算数为18.47万元，比上年决算增加4.23万元，增长29.71%,主要原因是：本年新招录人员增加3人，在职人员工资调增，公积金基数调增，人员经费增加。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2024年度一般公共预算财政拨款基本支出258.92万元，其中：</w:t>
      </w:r>
      <w:r>
        <w:rPr>
          <w:rFonts w:ascii="仿宋_GB2312" w:hAnsi="仿宋_GB2312" w:eastAsia="仿宋_GB2312"/>
          <w:b/>
          <w:sz w:val="32"/>
        </w:rPr>
        <w:t>人员经费231.51万元，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pPr>
        <w:spacing w:line="580" w:lineRule="exact"/>
        <w:ind w:firstLine="640"/>
        <w:jc w:val="both"/>
      </w:pPr>
      <w:r>
        <w:rPr>
          <w:rFonts w:ascii="仿宋_GB2312" w:hAnsi="仿宋_GB2312" w:eastAsia="仿宋_GB2312"/>
          <w:b/>
          <w:sz w:val="32"/>
        </w:rPr>
        <w:t>公用经费27.41万元，</w:t>
      </w:r>
      <w:r>
        <w:rPr>
          <w:rFonts w:ascii="仿宋_GB2312" w:hAnsi="仿宋_GB2312" w:eastAsia="仿宋_GB2312"/>
          <w:b w:val="0"/>
          <w:sz w:val="32"/>
        </w:rPr>
        <w:t>包括：办公费、水费、电费、邮电费、取暖费、差旅费、培训费、劳务费、工会经费、公务用车运行维护费、其他商品和服务支出。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2024年度财政拨款“三公”经费支出0.29万元，</w:t>
      </w:r>
      <w:r>
        <w:rPr>
          <w:rFonts w:ascii="仿宋_GB2312" w:hAnsi="仿宋_GB2312" w:eastAsia="仿宋_GB2312"/>
          <w:b w:val="0"/>
          <w:sz w:val="32"/>
        </w:rPr>
        <w:t>比上年增加0.29万元，增长100.00%，主要原因是：本年调剂一辆公务用车，增加公务用车运行费。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公务用车购置及运行维护费支出0.29万元，占100.00%，比上年增加0.29万元，增长100.00%，主要原因是：本年调剂一辆公务用车，增加公务用车运行费。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0.29万元，其中：公务用车购置费0.00万元，公务用车运行维护费0.29万元。公务用车运行维护费开支内容包括车辆加油费、保险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0.60万元，决算数0.29万元，预决算差异率-51.67%，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0.60万元，决算数0.29万元，预决算差异率-51.67%，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2024年度裕民县技工学校（事业单位）公用经费支出27.41万元，比上年减少1.86万元，下降6.35%，主要原因是：本年度单位节约用电、节约用水，费用上相对减少。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2024年度政府采购支出总额2.35万元，其中：政府采购货物支出2.06万元、政府采购工程支出0.00万元、政府采购服务支出0.29万元。</w:t>
      </w:r>
    </w:p>
    <w:p>
      <w:pPr>
        <w:spacing w:line="580" w:lineRule="exact"/>
        <w:ind w:firstLine="640"/>
        <w:jc w:val="both"/>
      </w:pPr>
      <w:r>
        <w:rPr>
          <w:rFonts w:ascii="仿宋_GB2312" w:hAnsi="仿宋_GB2312" w:eastAsia="仿宋_GB2312"/>
          <w:b w:val="0"/>
          <w:sz w:val="32"/>
        </w:rPr>
        <w:t>授予中小企业合同金额1.76万元，占政府采购支出总额的74.89%，其中：授予小微企业合同金额1.76万元，占政府采购支出总额的74.89%。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4.50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420.90万元，实际执行总额318.95万元；预算绩效评价项目3个，全年预算数60.03万元，全年执行数60.03万元。预算绩效管理取得的成效：一是资金使用效益提升通过设定清晰的绩效目标，强化“花钱必问效、无效必问责”的导向，推动资金向重点领域、高效项目倾斜，避免了资金闲置和浪费。二是管理流程规范化，从绩效目标设定、评价到结果应用，形成了全流程闭环管理，减少了预算编制的主观性和随意性，预算与实际需求的匹配度更高，项目执行中的偏差能被及时发现和纠正。发现的问题及原因：一是绩效目标设定不够科学，部分项目目标模糊、量化不足，与实际工作需求脱节，难以衡量成效，目标与预算金额匹配度低。二是绩效流于形式，多集中在过程性指标，跟踪不足，发现问题后整改不及时，预警作用未充分发挥。下一步改进措施：一是强化绩效目标源头管理，推动绩效目标与部门职能、发展规划深度衔接，要求目标具体、可量化、可考核，对不符合要求的予以退回修改，确保目标合理、预算合规。二是做实全过程绩效，确保自身单位制定整改方案并跟踪落实，建立“日常自查+定期报告”制度。三是提高自身思想认识，抛开惯性思维，提高主动性和积极性，确保绩效工作真实准确。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裕民县技工学校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381.27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420.90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318.95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252.23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277.60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267.63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129.04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聚焦社会稳定和长治久安总目标，坚决贯彻落实上级党政关于开展职业技能培训的各项决策部署精神，立足我县实际，提出职业技能培训总体规划、专业设置等方案；加强学校师资队伍建设，积极开展教师培训培养，科学设置培训科目和实训内容，扎实开展城乡应用技术型人才培训，不断提升劳动力职业素质，拓宽就业创业渠道；加强学校师生、教育教学和就业安置服务管理，确保学校各项工作扎实有序开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技工学校紧扣绩效目标奋进，师资建设上，按计划送出4名教师外出培训交流，培训回校后助力教学升级。技能培训模块，初中级工短期培训精准发力，500人次的目标圆满完成，15班次培训班涵盖多元工种，实操扎实，学员满意度超90%；校企合作稳步推进，成功签订2家企业，共建实习就业基地，实习学员均获得企业好评。就业服务两点突出，2场就业招聘会依工种召开，企业携100余岗位赴约，80人岗前培训扎实落地，学员就业成功率提升20%。在明年我校将持续改进，为技能人才培育持续添力。</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外出培训、交流交往教师数量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开展初、中级工短期培训人次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签订校企合作企业数量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每期技能培训班每个工种召开就业招聘会次数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举办各类培训班次数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就业岗前培训人数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2024年培训补贴项目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裕民县人力资源和社会保障局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裕民县技工学校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培训补贴，本年计划支出51.32万职业技能培训补贴，完成就业培训班20班次，培训人数550人，达成为我县就业技能提升提供保障效果。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有资金项目培训补贴实际支出51.32万元，完成就业培训班21班次，开班达标率达到100%，培训人数553人，培训学员通过考试均取得结业证书，有效提升受训学员合格率达到100%，项目总体完成率为100.78%，达到预期目标值。</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开设培训班次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&gt;=20班次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21班次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偏差原因：20%以内属于正常偏差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预计培训人员人数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偏差原因：20%以内属于正常偏差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开班达标率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偏差原因：20%以内属于正常偏差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开班时间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2024年1月-2024年12月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2024年1月-2024年12月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职业技能培训补贴支出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&lt;=51.32万元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提升参训人员就业技能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培训学员满意度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偏差原因：20%以内属于正常偏差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拨付校园绿化、学校办公区域购置和农牧民培训餐费项目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裕民县人力资源和社会保障局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裕民县技工学校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拨付校园绿化、学校办公区域购置和农牧民培训餐费项目，总金额3.53万元，在解决往年欠款的同时，专项用于就业培训环境优化及相关配套支出，通过校园绿化营造舒适学习氛围，种植四种以上品种的绿化植物，办公区域购置满足教学物资存储需求，合理安排农牧民培训餐费，全方位助力提升农牧民就业培训质量，增强其就业技能，推动当地就业工作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拨付校园绿化、学校办公区域购置和农牧民培训餐费项目,本年度实际完成总资金3.53万元的支出，其中校园绿化3.44万元，农牧民培训餐费0.09万元；完成校园内4种绿化种植以及六种花卉盆栽，达到营造舒适学习氛围目标；培训农牧民人数30人，保障农牧民培训的生活需求，增强就业技能水平，推动本县的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绿化所涉植物品种数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培训人员出勤率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绿植成活率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拨付校园绿化金额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&lt;=3.44万元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农牧民培训餐费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&lt;=0.09万元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有效改善校园环境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受训学员满意度（%）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裕民县技工学校防空地下室易地建设费用项目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裕民县人力资源和社会保障局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裕民县技工学校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关于印发《新疆维吾尔自治区人民防空工程建设行政审批管理规定（试行）》的通知，进一步规范人民防空工程建设行政审批管理，结合我县实际，将按一定要求修建防空地下室共计2个项目，总概算预计5.18万元，及时跟进资金到位，严格落实。</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裕民县技工学校防空地下室易地建设费用项目，按照文件通知严格落实，实际完成总资金5.18万元支出，确保了实训基地建设项目与食堂建设项目的标准施工，保障了校园综合功能完善，兼顾战时防护需求，</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防空地下室易地建设项目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经费使用准确率（%）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项目按期完工率（%）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实训基地建设项目资金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&lt;=3.68万元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食堂建设项目资金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有效提升培训学员技能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