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市场综合监督管理和知识产权管理。贯彻执行国家市场监督管理和知识产权管理有关法律和规章。贯彻执行国家、自治区和地区市场监督管理、药品监督管理、知识产权管理有关法律（法规）和规章、政策标准，组织实施质量强县战略、食品安全战略、标准化战略和知识产权战略。组织实施有关规划，规范和维护市场秩序，营造诚实守信、公平竞争的市场环境。</w:t>
      </w:r>
    </w:p>
    <w:p>
      <w:pPr>
        <w:spacing w:line="580" w:lineRule="exact"/>
        <w:ind w:firstLine="640"/>
        <w:jc w:val="both"/>
      </w:pPr>
      <w:r>
        <w:rPr>
          <w:rFonts w:ascii="仿宋_GB2312" w:hAnsi="仿宋_GB2312" w:eastAsia="仿宋_GB2312"/>
          <w:sz w:val="32"/>
        </w:rPr>
        <w:t>（二）负责市场主体统一登记注册。指导各类企业、农民专业合作社和从事经营活动的单位、个体工商户，以及外国（地区）企业常驻代表机构等市场主体的登记注册工作。建立市场主体信息公示和共享机制，依法公示和共享有关信息，加强信用监管，推动市场主体信用体系建设。</w:t>
      </w:r>
    </w:p>
    <w:p>
      <w:pPr>
        <w:spacing w:line="580" w:lineRule="exact"/>
        <w:ind w:firstLine="640"/>
        <w:jc w:val="both"/>
      </w:pPr>
      <w:r>
        <w:rPr>
          <w:rFonts w:ascii="仿宋_GB2312" w:hAnsi="仿宋_GB2312" w:eastAsia="仿宋_GB2312"/>
          <w:sz w:val="32"/>
        </w:rPr>
        <w:t>（三）负责组织和指导市场监管和知识产权综合执法工作。指导市场监管综合执法队伍整合和建设并指导开展工作，推动实行统一的市场监管。依法查处各类违法案件。规范市场监管和知识产权行政执法行为。</w:t>
      </w:r>
    </w:p>
    <w:p>
      <w:pPr>
        <w:spacing w:line="580" w:lineRule="exact"/>
        <w:ind w:firstLine="640"/>
        <w:jc w:val="both"/>
      </w:pPr>
      <w:r>
        <w:rPr>
          <w:rFonts w:ascii="仿宋_GB2312" w:hAnsi="仿宋_GB2312" w:eastAsia="仿宋_GB2312"/>
          <w:sz w:val="32"/>
        </w:rPr>
        <w:t>（四）负责反垄断统一执法。实施公平竞争审查制度。依据授权负责垄断协议、滥用市场支配地位和滥用行政权力排除、限制竞争等反垄断执法工作。依法对经营者集中行为进行反垄断审查,并依据委托开展调查，指导企业在县内外的反垄断应诉工作。</w:t>
      </w:r>
    </w:p>
    <w:p>
      <w:pPr>
        <w:spacing w:line="580" w:lineRule="exact"/>
        <w:ind w:firstLine="640"/>
        <w:jc w:val="both"/>
      </w:pPr>
      <w:r>
        <w:rPr>
          <w:rFonts w:ascii="仿宋_GB2312" w:hAnsi="仿宋_GB2312" w:eastAsia="仿宋_GB2312"/>
          <w:sz w:val="32"/>
        </w:rPr>
        <w:t>（五）负责监督管理市场秩序。依法监督管理市场交易，网络商品交易及有关服务的行为。组织指导查处价格收费违法违规、不正当竞争、违法直销、传销、侵犯商标专利知识产权和制售假冒伪劣行为。指导广告业发展，监督管理广告活动。指导查处无照生产经营和相关无证生产经营行为。指导县消费者协会开展消费维权工作。</w:t>
      </w:r>
    </w:p>
    <w:p>
      <w:pPr>
        <w:spacing w:line="580" w:lineRule="exact"/>
        <w:ind w:firstLine="640"/>
        <w:jc w:val="both"/>
      </w:pPr>
      <w:r>
        <w:rPr>
          <w:rFonts w:ascii="仿宋_GB2312" w:hAnsi="仿宋_GB2312" w:eastAsia="仿宋_GB2312"/>
          <w:sz w:val="32"/>
        </w:rPr>
        <w:t>（六）负责宏观质量管理。拟订并实施质量发展的制度措施。统筹质量基础设施建设与应用，会同有关部门组织实施重大工程设备质量监理制度，组织重大质量事故调查，建立并统一实施缺陷产品召回制度，监督管理产品防伪工作。</w:t>
      </w:r>
    </w:p>
    <w:p>
      <w:pPr>
        <w:spacing w:line="580" w:lineRule="exact"/>
        <w:ind w:firstLine="640"/>
        <w:jc w:val="both"/>
      </w:pPr>
      <w:r>
        <w:rPr>
          <w:rFonts w:ascii="仿宋_GB2312" w:hAnsi="仿宋_GB2312" w:eastAsia="仿宋_GB2312"/>
          <w:sz w:val="32"/>
        </w:rPr>
        <w:t>（七）负责产品质量安全监督管理。管理产品质量安全风险监督、监督抽检工作。组织实施质量分级制度、质量安全追溯制度。指导工业产品生产许可管理。负责纤维质量监督工作。</w:t>
      </w:r>
    </w:p>
    <w:p>
      <w:pPr>
        <w:spacing w:line="580" w:lineRule="exact"/>
        <w:ind w:firstLine="640"/>
        <w:jc w:val="both"/>
      </w:pPr>
      <w:r>
        <w:rPr>
          <w:rFonts w:ascii="仿宋_GB2312" w:hAnsi="仿宋_GB2312" w:eastAsia="仿宋_GB2312"/>
          <w:sz w:val="32"/>
        </w:rPr>
        <w:t>（八）负责特种设备安全监督管理。综合管理特种设备安全监察、监督工作，监督检查高耗能特种设备节能标准和锅炉环境保护标准的执行情况。</w:t>
      </w:r>
    </w:p>
    <w:p>
      <w:pPr>
        <w:spacing w:line="580" w:lineRule="exact"/>
        <w:ind w:firstLine="640"/>
        <w:jc w:val="both"/>
      </w:pPr>
      <w:r>
        <w:rPr>
          <w:rFonts w:ascii="仿宋_GB2312" w:hAnsi="仿宋_GB2312" w:eastAsia="仿宋_GB2312"/>
          <w:sz w:val="32"/>
        </w:rPr>
        <w:t>（九）负责食品安全监督管理综合协调。组织实施食品安全相关政策。负责食品安全应急体系建设，组织指导重大食品安全事件应急处置和调查处理工作。建立健全食品安全重要信息直报制度。</w:t>
      </w:r>
    </w:p>
    <w:p>
      <w:pPr>
        <w:spacing w:line="580" w:lineRule="exact"/>
        <w:ind w:firstLine="640"/>
        <w:jc w:val="both"/>
      </w:pPr>
      <w:r>
        <w:rPr>
          <w:rFonts w:ascii="仿宋_GB2312" w:hAnsi="仿宋_GB2312" w:eastAsia="仿宋_GB2312"/>
          <w:sz w:val="32"/>
        </w:rPr>
        <w:t>（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低风险预警、风险交流工作。组织实施特殊食品备案和监督管理。</w:t>
      </w:r>
    </w:p>
    <w:p>
      <w:pPr>
        <w:spacing w:line="580" w:lineRule="exact"/>
        <w:ind w:firstLine="640"/>
        <w:jc w:val="both"/>
      </w:pPr>
      <w:r>
        <w:rPr>
          <w:rFonts w:ascii="仿宋_GB2312" w:hAnsi="仿宋_GB2312" w:eastAsia="仿宋_GB2312"/>
          <w:sz w:val="32"/>
        </w:rPr>
        <w:t>（十一）贯彻执行国家、自治区、地区有关食盐管理的法律法规和政策,承担食盐质量安全监督管理工作。</w:t>
      </w:r>
    </w:p>
    <w:p>
      <w:pPr>
        <w:spacing w:line="580" w:lineRule="exact"/>
        <w:ind w:firstLine="640"/>
        <w:jc w:val="both"/>
      </w:pPr>
      <w:r>
        <w:rPr>
          <w:rFonts w:ascii="仿宋_GB2312" w:hAnsi="仿宋_GB2312" w:eastAsia="仿宋_GB2312"/>
          <w:sz w:val="32"/>
        </w:rPr>
        <w:t>（十二）负责药品、化妆品、医疗器械的监督管理;监督实施全县药品和医疗器械的标准、分类管理制度，监督实施药品和医疗器械的研制、生产、经营、使用质量等管理规范。负责药品、医疗器械互联网销售第三方平台监督管理；开展药品不良反应、医疗器械不良事件监测、报告和处置工作。组织实施化妆品监督管理办法。配合实施国家基本药物制度。</w:t>
      </w:r>
    </w:p>
    <w:p>
      <w:pPr>
        <w:spacing w:line="580" w:lineRule="exact"/>
        <w:ind w:firstLine="640"/>
        <w:jc w:val="both"/>
      </w:pPr>
      <w:r>
        <w:rPr>
          <w:rFonts w:ascii="仿宋_GB2312" w:hAnsi="仿宋_GB2312" w:eastAsia="仿宋_GB2312"/>
          <w:sz w:val="32"/>
        </w:rPr>
        <w:t>（十三）负责统一管理计量工作。执行国家计量制度，推行国家法定计量单位，依法管理计量器具及量值传递和比对工作。规范、监督商品量和市场计量行为。</w:t>
      </w:r>
    </w:p>
    <w:p>
      <w:pPr>
        <w:spacing w:line="580" w:lineRule="exact"/>
        <w:ind w:firstLine="640"/>
        <w:jc w:val="both"/>
      </w:pPr>
      <w:r>
        <w:rPr>
          <w:rFonts w:ascii="仿宋_GB2312" w:hAnsi="仿宋_GB2312" w:eastAsia="仿宋_GB2312"/>
          <w:sz w:val="32"/>
        </w:rPr>
        <w:t>（十四）负责统一管理标准化工作。依法承担地方标准的立项、编号、制定和发布等工作。依法协调指导和监督企业标准、团体标准制定工作。</w:t>
      </w:r>
    </w:p>
    <w:p>
      <w:pPr>
        <w:spacing w:line="580" w:lineRule="exact"/>
        <w:ind w:firstLine="640"/>
        <w:jc w:val="both"/>
      </w:pPr>
      <w:r>
        <w:rPr>
          <w:rFonts w:ascii="仿宋_GB2312" w:hAnsi="仿宋_GB2312" w:eastAsia="仿宋_GB2312"/>
          <w:sz w:val="32"/>
        </w:rPr>
        <w:t>（十五）负责统一管理检验检测工作。推进检验检测机构改革，规范检验检测市场，完善检验检测体系，指导协调检验检测行业发展。</w:t>
      </w:r>
    </w:p>
    <w:p>
      <w:pPr>
        <w:spacing w:line="580" w:lineRule="exact"/>
        <w:ind w:firstLine="640"/>
        <w:jc w:val="both"/>
      </w:pPr>
      <w:r>
        <w:rPr>
          <w:rFonts w:ascii="仿宋_GB2312" w:hAnsi="仿宋_GB2312" w:eastAsia="仿宋_GB2312"/>
          <w:sz w:val="32"/>
        </w:rPr>
        <w:t>（十六）负责统一管理、监督和综合协调认证认可工作。建立并组织实施统一的认证认可和合格评定监督管理制度。</w:t>
      </w:r>
    </w:p>
    <w:p>
      <w:pPr>
        <w:spacing w:line="580" w:lineRule="exact"/>
        <w:ind w:firstLine="640"/>
        <w:jc w:val="both"/>
      </w:pPr>
      <w:r>
        <w:rPr>
          <w:rFonts w:ascii="仿宋_GB2312" w:hAnsi="仿宋_GB2312" w:eastAsia="仿宋_GB2312"/>
          <w:sz w:val="32"/>
        </w:rPr>
        <w:t>（十七）负责市场监督管理和知识产权科技和信息化建设、新闻宣传以及对外交流合作。</w:t>
      </w:r>
    </w:p>
    <w:p>
      <w:pPr>
        <w:spacing w:line="580" w:lineRule="exact"/>
        <w:ind w:firstLine="640"/>
        <w:jc w:val="both"/>
      </w:pPr>
      <w:r>
        <w:rPr>
          <w:rFonts w:ascii="仿宋_GB2312" w:hAnsi="仿宋_GB2312" w:eastAsia="仿宋_GB2312"/>
          <w:sz w:val="32"/>
        </w:rPr>
        <w:t>（十八）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务服务体系建设，推动知识产权信息传播利用。</w:t>
      </w:r>
    </w:p>
    <w:p>
      <w:pPr>
        <w:spacing w:line="580" w:lineRule="exact"/>
        <w:ind w:firstLine="640"/>
        <w:jc w:val="both"/>
      </w:pPr>
      <w:r>
        <w:rPr>
          <w:rFonts w:ascii="仿宋_GB2312" w:hAnsi="仿宋_GB2312" w:eastAsia="仿宋_GB2312"/>
          <w:sz w:val="32"/>
        </w:rPr>
        <w:t>（十九）负责保护知识产权。组织实施严格保护商标、专利、原产地地理标志等知识产权制度措施。研究提出知识产权保护体系建设方案并组织实施，推动建设知识产权保护体系。负责组织指导商标、专利执法工作，指导知识产权争议处理、维权援助和纠纷调处。</w:t>
      </w:r>
    </w:p>
    <w:p>
      <w:pPr>
        <w:spacing w:line="580" w:lineRule="exact"/>
        <w:ind w:firstLine="640"/>
        <w:jc w:val="both"/>
      </w:pPr>
      <w:r>
        <w:rPr>
          <w:rFonts w:ascii="仿宋_GB2312" w:hAnsi="仿宋_GB2312" w:eastAsia="仿宋_GB2312"/>
          <w:sz w:val="32"/>
        </w:rPr>
        <w:t>（二十）承担县食品安全委员会的具体工作。</w:t>
      </w:r>
    </w:p>
    <w:p>
      <w:pPr>
        <w:spacing w:line="580" w:lineRule="exact"/>
        <w:ind w:firstLine="640"/>
        <w:jc w:val="both"/>
      </w:pPr>
      <w:r>
        <w:rPr>
          <w:rFonts w:ascii="仿宋_GB2312" w:hAnsi="仿宋_GB2312" w:eastAsia="仿宋_GB2312"/>
          <w:sz w:val="32"/>
        </w:rPr>
        <w:t>（二十一）完成政府交办的其他任务。</w:t>
      </w:r>
    </w:p>
    <w:p>
      <w:pPr>
        <w:spacing w:line="580" w:lineRule="exact"/>
        <w:ind w:firstLine="640"/>
        <w:jc w:val="both"/>
      </w:pPr>
      <w:r>
        <w:rPr>
          <w:rFonts w:ascii="仿宋_GB2312" w:hAnsi="仿宋_GB2312" w:eastAsia="仿宋_GB2312"/>
          <w:sz w:val="32"/>
        </w:rPr>
        <w:t>（二十二）职能转变。</w:t>
      </w:r>
    </w:p>
    <w:p>
      <w:pPr>
        <w:spacing w:line="580" w:lineRule="exact"/>
        <w:ind w:firstLine="640"/>
        <w:jc w:val="both"/>
      </w:pPr>
      <w:r>
        <w:rPr>
          <w:rFonts w:ascii="仿宋_GB2312" w:hAnsi="仿宋_GB2312" w:eastAsia="仿宋_GB2312"/>
          <w:sz w:val="32"/>
        </w:rPr>
        <w:t>1.大力推进质量提升。加强全面质量管理和质量基础设施体系建设，完善质量激励制度，推进品牌建设。加快建立企业产品质量安全事故强制报告制度及经营者首问和赔偿先付制度，创新第三方质量评价，强化生产经营者主体责任，推广先进的质量管理方法。全面实施企业产品与服务标准自我声明公开和监督制度，培育发展技术先进的团体标准，对标国际提高国内标准整体水平，以标准化促进质量强县建设。优化知识产权激励机制，放宽知识产权服务业准入，推动知识产权高质量发展。</w:t>
      </w:r>
    </w:p>
    <w:p>
      <w:pPr>
        <w:spacing w:line="580" w:lineRule="exact"/>
        <w:ind w:firstLine="640"/>
        <w:jc w:val="both"/>
      </w:pPr>
      <w:r>
        <w:rPr>
          <w:rFonts w:ascii="仿宋_GB2312" w:hAnsi="仿宋_GB2312" w:eastAsia="仿宋_GB2312"/>
          <w:sz w:val="32"/>
        </w:rPr>
        <w:t>2.深入推进简政放权。深化商事制度改革，改革企业名称核准、市场主体退出等制度，深化“证照分离”改革，推动“照后减证”，压缩企业开办时间。加快检验检测机构市场化社会化改革。进一步减少评比达标、认定奖励、示范创建等活动，减少行政审批事项，促进优化营商环境。</w:t>
      </w:r>
    </w:p>
    <w:p>
      <w:pPr>
        <w:spacing w:line="580" w:lineRule="exact"/>
        <w:ind w:firstLine="640"/>
        <w:jc w:val="both"/>
      </w:pPr>
      <w:r>
        <w:rPr>
          <w:rFonts w:ascii="仿宋_GB2312" w:hAnsi="仿宋_GB2312" w:eastAsia="仿宋_GB2312"/>
          <w:sz w:val="32"/>
        </w:rPr>
        <w:t>3.严守安全底线。遵循“最严谨的标准、最严格的监管、最严厉的处罚、最严肃的问责”要求，依法加强食品安全、工业产品质量安全、特种设备安全监管，强化现场检查，严惩违法违规行为，有效防范系统性风险，让人民群众买得放心、用得放心、吃得放心。</w:t>
      </w:r>
    </w:p>
    <w:p>
      <w:pPr>
        <w:spacing w:line="580" w:lineRule="exact"/>
        <w:ind w:firstLine="640"/>
        <w:jc w:val="both"/>
      </w:pPr>
      <w:r>
        <w:rPr>
          <w:rFonts w:ascii="仿宋_GB2312" w:hAnsi="仿宋_GB2312" w:eastAsia="仿宋_GB2312"/>
          <w:sz w:val="32"/>
        </w:rPr>
        <w:t>4.加强事中事后监管。加快清理废除妨碍全国统一市场和公平竞争的各种规定和做法，加强反垄断、反不正当竞争统一执法。强化依据标准监管，强化风险监管，全面推行“双随机、一公开”和“互联网+监管”，加快推进监管信息共享，构建以信息公示为手段、以信用监管为核心的新型市场监管体系。</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裕民县市场监督管理局2024年度，实有人数77人，其中：在职人员40人，减少5人；离休人员0人，增加0人；退休人员37人,增加4人。</w:t>
      </w:r>
    </w:p>
    <w:p>
      <w:pPr>
        <w:spacing w:line="580" w:lineRule="exact"/>
        <w:ind w:firstLine="640"/>
        <w:jc w:val="both"/>
      </w:pPr>
      <w:r>
        <w:rPr>
          <w:rFonts w:ascii="仿宋_GB2312" w:hAnsi="仿宋_GB2312" w:eastAsia="仿宋_GB2312"/>
          <w:sz w:val="32"/>
        </w:rPr>
        <w:t>裕民县市场监督管理局无下属预算单位，下设15个科室，分别是：办公室、财务室、政策法规室、注册登记管理室、执法稽查大队、消费者权益保护室（消费者投诉举报中心）、知识产权促进与保护室、质量标准化计量管理室、特种设备安全监察室、食品生产监督管理室、食品经营安全监督管理室、药品及医疗器械和化妆品监督管理室、裕民县城镇市场监督管理所、裕民县农村市场监督管理所、裕民县质量与计量检测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2024年度收入总计909.24万元，</w:t>
      </w:r>
      <w:r>
        <w:rPr>
          <w:rFonts w:ascii="仿宋_GB2312" w:hAnsi="仿宋_GB2312" w:eastAsia="仿宋_GB2312"/>
          <w:b w:val="0"/>
          <w:sz w:val="32"/>
        </w:rPr>
        <w:t>其中：本年收入合计909.24万元，使用非财政拨款结余（含专用结余）0.00万元，年初结转和结余0.00万元。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2024年度支出总计909.24万元，</w:t>
      </w:r>
      <w:r>
        <w:rPr>
          <w:rFonts w:ascii="仿宋_GB2312" w:hAnsi="仿宋_GB2312" w:eastAsia="仿宋_GB2312"/>
          <w:b w:val="0"/>
          <w:sz w:val="32"/>
        </w:rPr>
        <w:t>其中：本年支出合计909.24万元，结余分配0.00万元，年末结转和结余0.00万元。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减少63.52万元，下降6.53%，主要原因是：2024年度在职人员减少5人，经费减少，人员经费比上年减少。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本年收入909.24万元，</w:t>
      </w:r>
      <w:r>
        <w:rPr>
          <w:rFonts w:ascii="仿宋_GB2312" w:hAnsi="仿宋_GB2312" w:eastAsia="仿宋_GB2312"/>
          <w:b w:val="0"/>
          <w:sz w:val="32"/>
        </w:rPr>
        <w:t>其中：财政拨款收入790.28万元，占86.92%；上级补助收入0.00万元，占0.00%；事业收入0.00万元，占0.00%；经营收入0.00万元，占0.00%；附属单位上缴收入0.00万元，占0.00%；其他收入118.96万元，占13.08%。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本年支出909.24万元，</w:t>
      </w:r>
      <w:r>
        <w:rPr>
          <w:rFonts w:ascii="仿宋_GB2312" w:hAnsi="仿宋_GB2312" w:eastAsia="仿宋_GB2312"/>
          <w:b w:val="0"/>
          <w:sz w:val="32"/>
        </w:rPr>
        <w:t>其中：基本支出759.74万元，占83.56%；项目支出149.50万元，占16.44%；上缴上级支出0.00万元，占0.00%；经营支出0.00万元，占0.00%；对附属单位补助支出0.00万元，占0.00%。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2024年度财政拨款收入总计790.28万元，</w:t>
      </w:r>
      <w:r>
        <w:rPr>
          <w:rFonts w:ascii="仿宋_GB2312" w:hAnsi="仿宋_GB2312" w:eastAsia="仿宋_GB2312"/>
          <w:b w:val="0"/>
          <w:sz w:val="32"/>
        </w:rPr>
        <w:t>其中：年初财政拨款结转和结余0.00万元，本年财政拨款收入790.28万元。</w:t>
      </w:r>
      <w:r>
        <w:rPr>
          <w:rFonts w:ascii="仿宋_GB2312" w:hAnsi="仿宋_GB2312" w:eastAsia="仿宋_GB2312"/>
          <w:b/>
          <w:sz w:val="32"/>
        </w:rPr>
        <w:t>财政拨款支出总计790.28万元，</w:t>
      </w:r>
      <w:r>
        <w:rPr>
          <w:rFonts w:ascii="仿宋_GB2312" w:hAnsi="仿宋_GB2312" w:eastAsia="仿宋_GB2312"/>
          <w:b w:val="0"/>
          <w:sz w:val="32"/>
        </w:rPr>
        <w:t>其中：年末财政拨款结转和结余0.00万元，本年财政拨款支出790.28万元。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减少182.48万元，下降18.76%，主要原因是：2024年度在职人员减少5人，经费减少；上年存在质量与计量综合检测楼工程还款，本年无此支出。</w:t>
      </w:r>
      <w:r>
        <w:rPr>
          <w:rFonts w:ascii="仿宋_GB2312" w:hAnsi="仿宋_GB2312" w:eastAsia="仿宋_GB2312"/>
          <w:b/>
          <w:sz w:val="32"/>
        </w:rPr>
        <w:t>与年初预算相比，</w:t>
      </w:r>
      <w:r>
        <w:rPr>
          <w:rFonts w:ascii="仿宋_GB2312" w:hAnsi="仿宋_GB2312" w:eastAsia="仿宋_GB2312"/>
          <w:b w:val="0"/>
          <w:sz w:val="32"/>
        </w:rPr>
        <w:t>年初预算数841.39万元，决算数790.28万元，预决算差异率-6.07%，主要原因是：2024年度在职人员减少5人，年中调减人员经费；年中调减质量与计量综合检测楼工程款，导致预决算存在差异。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2024年度一般公共预算财政拨款支出790.28万元，</w:t>
      </w:r>
      <w:r>
        <w:rPr>
          <w:rFonts w:ascii="仿宋_GB2312" w:hAnsi="仿宋_GB2312" w:eastAsia="仿宋_GB2312"/>
          <w:b w:val="0"/>
          <w:sz w:val="32"/>
        </w:rPr>
        <w:t>占本年支出合计的86.92%。</w:t>
      </w:r>
      <w:r>
        <w:rPr>
          <w:rFonts w:ascii="仿宋_GB2312" w:hAnsi="仿宋_GB2312" w:eastAsia="仿宋_GB2312"/>
          <w:b/>
          <w:sz w:val="32"/>
        </w:rPr>
        <w:t>与上年相比，</w:t>
      </w:r>
      <w:r>
        <w:rPr>
          <w:rFonts w:ascii="仿宋_GB2312" w:hAnsi="仿宋_GB2312" w:eastAsia="仿宋_GB2312"/>
          <w:b w:val="0"/>
          <w:sz w:val="32"/>
        </w:rPr>
        <w:t>减少182.48万元，下降18.76%，主要原因是：2024年度在职人员减少5人，经费减少；上年存在质量与计量综合检测楼工程还款，本年无此支出。</w:t>
      </w:r>
      <w:r>
        <w:rPr>
          <w:rFonts w:ascii="仿宋_GB2312" w:hAnsi="仿宋_GB2312" w:eastAsia="仿宋_GB2312"/>
          <w:b/>
          <w:sz w:val="32"/>
        </w:rPr>
        <w:t>与年初预算相比,</w:t>
      </w:r>
      <w:r>
        <w:rPr>
          <w:rFonts w:ascii="仿宋_GB2312" w:hAnsi="仿宋_GB2312" w:eastAsia="仿宋_GB2312"/>
          <w:b w:val="0"/>
          <w:sz w:val="32"/>
        </w:rPr>
        <w:t>年初预算数841.39万元，决算数790.28万元，预决算差异率-6.07%，主要原因是：2024年度在职人员减少5人，年中调减人员经费；年中调减质量与计量综合检测楼工程款，导致预决算存在差异。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1.一般公共服务支出(类)564.05万元,占71.37%。</w:t>
      </w:r>
    </w:p>
    <w:p>
      <w:pPr>
        <w:spacing w:line="580" w:lineRule="exact"/>
        <w:ind w:firstLine="640"/>
        <w:jc w:val="both"/>
      </w:pPr>
      <w:r>
        <w:rPr>
          <w:rFonts w:ascii="仿宋_GB2312" w:hAnsi="仿宋_GB2312" w:eastAsia="仿宋_GB2312"/>
          <w:b w:val="0"/>
          <w:sz w:val="32"/>
        </w:rPr>
        <w:t>2.社会保障和就业支出(类)128.91万元,占16.31%。</w:t>
      </w:r>
    </w:p>
    <w:p>
      <w:pPr>
        <w:spacing w:line="580" w:lineRule="exact"/>
        <w:ind w:firstLine="640"/>
        <w:jc w:val="both"/>
      </w:pPr>
      <w:r>
        <w:rPr>
          <w:rFonts w:ascii="仿宋_GB2312" w:hAnsi="仿宋_GB2312" w:eastAsia="仿宋_GB2312"/>
          <w:b w:val="0"/>
          <w:sz w:val="32"/>
        </w:rPr>
        <w:t>3.卫生健康支出(类)37.74万元,占4.78%。</w:t>
      </w:r>
    </w:p>
    <w:p>
      <w:pPr>
        <w:spacing w:line="580" w:lineRule="exact"/>
        <w:ind w:firstLine="640"/>
        <w:jc w:val="both"/>
      </w:pPr>
      <w:r>
        <w:rPr>
          <w:rFonts w:ascii="仿宋_GB2312" w:hAnsi="仿宋_GB2312" w:eastAsia="仿宋_GB2312"/>
          <w:b w:val="0"/>
          <w:sz w:val="32"/>
        </w:rPr>
        <w:t>4.农林水支出(类)5.00万元,占0.63%。</w:t>
      </w:r>
    </w:p>
    <w:p>
      <w:pPr>
        <w:spacing w:line="580" w:lineRule="exact"/>
        <w:ind w:firstLine="640"/>
        <w:jc w:val="both"/>
      </w:pPr>
      <w:r>
        <w:rPr>
          <w:rFonts w:ascii="仿宋_GB2312" w:hAnsi="仿宋_GB2312" w:eastAsia="仿宋_GB2312"/>
          <w:b w:val="0"/>
          <w:sz w:val="32"/>
        </w:rPr>
        <w:t>5.住房保障支出(类)54.58万元,占6.91%。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1.一般公共服务支出(类)市场监督管理事务(款)行政运行(项):支出决算数为538.51万元，比上年决算减少58.64万元，下降9.82%,主要原因是：本年在职人员减少5人（调出1人，退休4人），相关人员经费较上年减少。</w:t>
      </w:r>
    </w:p>
    <w:p>
      <w:pPr>
        <w:spacing w:line="580" w:lineRule="exact"/>
        <w:ind w:firstLine="640"/>
        <w:jc w:val="both"/>
      </w:pPr>
      <w:r>
        <w:rPr>
          <w:rFonts w:ascii="仿宋_GB2312" w:hAnsi="仿宋_GB2312" w:eastAsia="仿宋_GB2312"/>
          <w:b w:val="0"/>
          <w:sz w:val="32"/>
        </w:rPr>
        <w:t>2.一般公共服务支出(类)市场监督管理事务(款)市场主体管理(项):支出决算数为6.80万元，比上年决算增加0.80万元，增长13.33%,主要原因是：2024年制服采购数较上年增多，市场主体管理经费较上年增加。</w:t>
      </w:r>
    </w:p>
    <w:p>
      <w:pPr>
        <w:spacing w:line="580" w:lineRule="exact"/>
        <w:ind w:firstLine="640"/>
        <w:jc w:val="both"/>
      </w:pPr>
      <w:r>
        <w:rPr>
          <w:rFonts w:ascii="仿宋_GB2312" w:hAnsi="仿宋_GB2312" w:eastAsia="仿宋_GB2312"/>
          <w:b w:val="0"/>
          <w:sz w:val="32"/>
        </w:rPr>
        <w:t>3.一般公共服务支出(类)市场监督管理事务(款)质量基础(项):支出决算数为3.74万元，比上年决算增加0.74万元，增长24.67%,主要原因是：2024年产品质量检测任务比上年增多，质量基础经费较上年增加。</w:t>
      </w:r>
    </w:p>
    <w:p>
      <w:pPr>
        <w:spacing w:line="580" w:lineRule="exact"/>
        <w:ind w:firstLine="640"/>
        <w:jc w:val="both"/>
      </w:pPr>
      <w:r>
        <w:rPr>
          <w:rFonts w:ascii="仿宋_GB2312" w:hAnsi="仿宋_GB2312" w:eastAsia="仿宋_GB2312"/>
          <w:b w:val="0"/>
          <w:sz w:val="32"/>
        </w:rPr>
        <w:t>4.一般公共服务支出(类)市场监督管理事务(款)药品事务(项):支出决算数为2.00万元，比上年决算增加0.50万元，增长33.33%,主要原因是：2024年药品检测任务比上年增多，药品事务经费较上年增加。</w:t>
      </w:r>
    </w:p>
    <w:p>
      <w:pPr>
        <w:spacing w:line="580" w:lineRule="exact"/>
        <w:ind w:firstLine="640"/>
        <w:jc w:val="both"/>
      </w:pPr>
      <w:r>
        <w:rPr>
          <w:rFonts w:ascii="仿宋_GB2312" w:hAnsi="仿宋_GB2312" w:eastAsia="仿宋_GB2312"/>
          <w:b w:val="0"/>
          <w:sz w:val="32"/>
        </w:rPr>
        <w:t>5.一般公共服务支出(类)市场监督管理事务(款)食品安全监管(项):支出决算数为10.00万元，比上年决算增加3.00万元，增长42.86%,主要原因是：2024年食品检测任务比上年增多，食品安全监管经费较上年增加。</w:t>
      </w:r>
    </w:p>
    <w:p>
      <w:pPr>
        <w:spacing w:line="580" w:lineRule="exact"/>
        <w:ind w:firstLine="640"/>
        <w:jc w:val="both"/>
      </w:pPr>
      <w:r>
        <w:rPr>
          <w:rFonts w:ascii="仿宋_GB2312" w:hAnsi="仿宋_GB2312" w:eastAsia="仿宋_GB2312"/>
          <w:b w:val="0"/>
          <w:sz w:val="32"/>
        </w:rPr>
        <w:t>6.一般公共服务支出(类)市场监督管理事务(款)其他市场监督管理事务(项):支出决算数为3.00万元，比上年决算减少67.81万元，下降95.76%,主要原因是：2023年质量与计量综合检测楼工程还款，2024年无此支出。</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26.79万元，比上年决算减少56.07万元，下降67.67%,主要原因是：2023年退休人员自然减员2人，发放抚恤金，本年无去世人员，相应经费减少。</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68.68万元，比上年决算减少0.36万元，下降0.52%,主要原因是：本年在职人员减少5人，单位基本养老保险缴费较上年减少。</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33.43万元，比上年决算增加0.57万元，增长1.73%,主要原因是：2024年新增退休人员4人较上年增加，职业年金缴费支出增加。</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10.卫生健康支出(类)行政事业单位医疗(款)行政单位医疗(项):支出决算数为29.81万元，比上年决算减少1.03万元，下降3.34%,主要原因是：2024年在职人员减少5人，相关行政单位医疗经费较上年减少。</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11.卫生健康支出(类)行政事业单位医疗(款)公务员医疗补助(项):支出决算数为7.93万元，比上年决算减少0.80万元，下降9.16%,主要原因是：2024年在职人员减少5人，其中4人为公务员退休，相关人员经费较上年减少。</w:t>
      </w:r>
    </w:p>
    <w:p>
      <w:pPr>
        <w:spacing w:line="580" w:lineRule="exact"/>
        <w:ind w:firstLine="640"/>
        <w:jc w:val="both"/>
      </w:pPr>
      <w:r>
        <w:rPr>
          <w:rFonts w:ascii="仿宋_GB2312" w:hAnsi="仿宋_GB2312" w:eastAsia="仿宋_GB2312"/>
          <w:b w:val="0"/>
          <w:sz w:val="32"/>
        </w:rPr>
        <w:t>12.农林水支出(类)农业农村(款)其他农业农村支出(项):支出决算数为5.00万元，比上年决算减少3.94万元，下降44.07%,主要原因是：2023年有两个工作队，2023年8月撤回一个工作队，经费撤回；2024年一个工作队，因此比上年决算减少。</w:t>
      </w:r>
    </w:p>
    <w:p>
      <w:pPr>
        <w:spacing w:line="580" w:lineRule="exact"/>
        <w:ind w:firstLine="640"/>
        <w:jc w:val="both"/>
      </w:pPr>
      <w:r>
        <w:rPr>
          <w:rFonts w:ascii="仿宋_GB2312" w:hAnsi="仿宋_GB2312" w:eastAsia="仿宋_GB2312"/>
          <w:b w:val="0"/>
          <w:sz w:val="32"/>
        </w:rPr>
        <w:t>13.住房保障支出(类)住房改革支出(款)住房公积金(项):支出决算数为54.58万元，比上年决算增加0.56万元，增长1.04%,主要原因是：2024年在职人员工资基数调增，公积金缴费基数上涨，相应支出增加。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2024年度一般公共预算财政拨款基本支出759.74万元，其中：</w:t>
      </w:r>
      <w:r>
        <w:rPr>
          <w:rFonts w:ascii="仿宋_GB2312" w:hAnsi="仿宋_GB2312" w:eastAsia="仿宋_GB2312"/>
          <w:b/>
          <w:sz w:val="32"/>
        </w:rPr>
        <w:t>人员经费709.72万元，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医疗费补助。</w:t>
      </w:r>
    </w:p>
    <w:p>
      <w:pPr>
        <w:spacing w:line="580" w:lineRule="exact"/>
        <w:ind w:firstLine="640"/>
        <w:jc w:val="both"/>
      </w:pPr>
      <w:r>
        <w:rPr>
          <w:rFonts w:ascii="仿宋_GB2312" w:hAnsi="仿宋_GB2312" w:eastAsia="仿宋_GB2312"/>
          <w:b/>
          <w:sz w:val="32"/>
        </w:rPr>
        <w:t>公用经费50.02万元，</w:t>
      </w:r>
      <w:r>
        <w:rPr>
          <w:rFonts w:ascii="仿宋_GB2312" w:hAnsi="仿宋_GB2312" w:eastAsia="仿宋_GB2312"/>
          <w:b w:val="0"/>
          <w:sz w:val="32"/>
        </w:rPr>
        <w:t>包括：办公费、印刷费、手续费、水费、电费、邮电费、取暖费、物业管理费、差旅费、维修（护）费、劳务费、委托业务费、工会经费、公务用车运行维护费。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2024年度财政拨款“三公”经费支出7.60万元，</w:t>
      </w:r>
      <w:r>
        <w:rPr>
          <w:rFonts w:ascii="仿宋_GB2312" w:hAnsi="仿宋_GB2312" w:eastAsia="仿宋_GB2312"/>
          <w:b w:val="0"/>
          <w:sz w:val="32"/>
        </w:rPr>
        <w:t>比上年增加3.45万元，增长83.13%，主要原因是：本年因业务需求，用车次数增加，燃油费增加，导致公务用车运行维护费较上年增加。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公务用车购置及运行维护费支出7.60万元，占100.00%，比上年增加3.45万元，增长83.13%，主要原因是：本年因业务需求，用车次数增加，燃油费增加，导致公务用车运行维护费较上年增加。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7.60万元，其中：公务用车购置费0.00万元，公务用车运行维护费7.60万元。公务用车运行维护费开支内容包括车辆加油费、维修费、保险费、审车费、过路费。公务用车购置数0辆，公务用车保有量10辆。国有资产占用情况中固定资产车辆10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7.60万元，决算数7.60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7.60万元，决算数7.60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2024年度裕民县市场监督管理局（行政单位和参照公务员法管理事业单位）机关运行经费支出50.02万元，比上年增加1.63万元，增长3.37%，主要原因是：本年更新、维护补充办公用品，机关运行经费较上年增加。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2024年度政府采购支出总额140.05万元，其中：政府采购货物支出125.25万元、政府采购工程支出0.00万元、政府采购服务支出14.79万元。</w:t>
      </w:r>
    </w:p>
    <w:p>
      <w:pPr>
        <w:spacing w:line="580" w:lineRule="exact"/>
        <w:ind w:firstLine="640"/>
        <w:jc w:val="both"/>
      </w:pPr>
      <w:r>
        <w:rPr>
          <w:rFonts w:ascii="仿宋_GB2312" w:hAnsi="仿宋_GB2312" w:eastAsia="仿宋_GB2312"/>
          <w:b w:val="0"/>
          <w:sz w:val="32"/>
        </w:rPr>
        <w:t>授予中小企业合同金额116.97万元，占政府采购支出总额的83.52%，其中：授予小微企业合同金额103.71万元，占政府采购支出总额的74.05%。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2,522.72平方米，价值293.34万元。车辆10辆，价值214.70万元，其中：副部（省）级及以上领导用车0辆、主要负责人用车0辆、机要通信用车0辆、应急保障用车0辆、执法执勤用车8辆、特种专业技术用车2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909.24万元，实际执行总额909.24万元；预算绩效评价项目5个，全年预算数30.94万元，全年执行数30.94万元。预算绩效管理取得的成效：一是绩效目标与预算编制紧密挂钩，通过对项目必要性、可行性、预期效益的事前评估，避免了“拍脑袋”决策和资金浪费。二是结合历史绩效数据和成本效益分析，合理确定预算规模，使资金分配更符合实际需求和政策导向。发现的问题及原因：一是绩效管理方面工作时间紧、任务重、专业性强，我单位的预算绩效存在一些不足之处需要完善。预算绩效管理缺乏系统的培训，造成预算绩效管理指导不到位、认识不到位，理解不充分，对预算绩效管理工作重点把握不到位；二是项目监督工作存在薄弱环节项目实施过程中的上报、跟踪、反馈机制尚未真正形成，对各地区项目资金的使用、实施等监管措施仍然存在改进的空间；三是预算管理方面经费预算编制精准度有待提高。由于预算执行中的不确定性，实际经费核算的科目、支出内容与预算会出现一定偏差。财务人员业务素质有待进一步提高。缺乏系统学习，财务人员对预算绩效管理认识不到位、理解不充分，对预算绩效管理业务不了解、不熟悉，对工作重点把握不到位，由此造成绩效评价工作还未摆脱财务考评或验收的影响。下一步改进措施：一是完善项目实施流程的上报、跟踪、反馈机制，明确各环节要求；利用信息化手段，结合定期和不定期检查，加强对项目资金使用和实施的监管，及时改正问题。二是充分调研，结合实际科学编制预算，提高精准度；加强财务人员业务培训，开展多方面学习，提升能力，减少对绩效评价的不利影响。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841.78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909.24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909.24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840.38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780.28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780.28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118.56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118.56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围绕中心，服务大局，优化营商环境、深化商事制度改革，服务辖区内4000余户市场主体，扎实推进“证照分离”改革、“互联网+政务服务+智慧化监管”，提高行政审批、行政监管、行政执法效率。完整、准确、全面贯彻新发展理念，加快构建新发展格局，着力推动高质量发展，更大力度支持市场主体发展，充分激发各类市场主体活力，强化公平竞争政策的基础地位，全面加强质量管理，全面强化知识产权保护，严格落实“四个最严”要求，坚决守住食品、特种设备安全底线，提振市场信心，稳定市场预期，努力提高市场监管现代化水平，服务经济实现质的有效提升和量的合理增长。均衡推进食品抽检监测，针对重点高风险品种，开展专项抽检监测。依法依规开展不合格（问题）食品核查处置，及时稳妥公布食品抽检结果信息。严格产品质量专项整治，农业生产资料等产品质量安全监管，防范化解重大质量安全风险隐患。保障“两品一械”日常监督抽验任务的完成，开展药品安全宣传活动，完成药品、医疗器械、化妆品现场核查工作，开展药品从业人员培训工作，完成药品、医疗器械、化妆品抽样检验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度裕民县市场监督管理局全年履职尽责，保障了市场监督管理局45位在职人员、公用及33位退休人员工资、社保及公积金等支出，确保人员工作正常运行。完整、准确、全面贯彻新发展理念，加快构建新发展格局，着力推动高质量发展，更大力度支持市场主体发展，充分激发各类市场主体活力，强化公平竞争政策的基础地位，全面加强质量管理，全面强化知识产权保护，严格落实“四个最严”要求，坚决守住食品、特种设备安全底线，提振市场信心，稳定市场预期，努力提高市场监管现代化水平，服务经济实现质的有效提升和量的合理增长。均衡推进食品抽检监测，针对重点高风险品种，开展专项抽检监测。依法依规开展不合格（问题）食品核查处置，及时稳妥公布食品抽检结果信息。严格产品质量专项整治，农业生产资料等产品质量安全监管，防范化解重大质量安全风险隐患。保障“两品一械”日常监督抽验任务的完成，开展药品安全宣传活动，完成药品、医疗器械、化妆品现场核查工作，开展药品从业人员培训工作，完成药品、医疗器械、化妆品抽样检验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食品安全监督抽检批次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24年工作要点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产品质量监督抽查批次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24年工作要点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药品、医疗器械、化妆品从业人员培训人次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24年工作要点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办理发放营业执照</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24年工作要点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广告监测数量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24年工作要点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药品、医疗器械和化妆品经营企业监管数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24年工作要点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查办各类案件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24年工作要点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2023年度自治区药品抽检经费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该项目主要是对药品、医疗器械经营的10家企业进行检查；化妆品不良反应上报单位监督检查&gt;=12家；加强药品、医疗器械和化妆品从业人员培训&gt;=30人次。加强药品、医疗器械和化妆品经营使用单位监管，严厉打击药品、医疗器械和化妆品违法行为，强化药品药品、医疗器械和化妆品从业人员培训，提高从业人员主体责任意识。</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预算5.4万元，其中药品、医疗器械和化妆品法律法规、安全知识等宣传培训成本0.04万元，药品、医疗器械、化妆品检查成本1万元，食品药品抽检专项2万元，购买办公设备2万元，严厉打击食品药品、医疗器械、化妆品领域违法犯罪行为，严查严防严控质量安全风险，确保辖区食品药品、医疗器械、化妆品安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药品、医疗器械经营企业检查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化妆品不良反应上报单位监督检查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加强药品、医疗器械和化妆品从业人员培训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食品药品检测批次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采购办公设备及对应的办公用品数量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&gt;=436个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药品、医疗器械经营企业检查覆盖率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化妆品不良反应上报单位检查覆盖率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药品、医疗器械和化妆品从业人员培训覆盖率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不合格产品处置率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药品、医疗器械和化妆品法律法规、安全知识等宣传培训成本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药品、医疗器械、化妆品检查成本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食品药品抽检专项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采购办公设备及对应的办公用品款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“两品一械”总体安全水平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tab/>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从业人员主体责任意识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tab/>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降低不合格流通风险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有所下降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有所下降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公众对药品、化妆品、医疗器械监管满意度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2024年制服采购</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该项目投入6.8万元，用于采购制服不少于8套成本为0.8万元，用于支付往年制服采购尾款1次成本为6万元。统一制服，有利于工作人员在执行公务时油然而生神圣感、庄严感、使命感，从而更尊重和珍惜这份职业，更明白为人民服务的意义和责任，更大程度发挥其工作主动性和积极性。统一制服，能让到国家机关联系事情的人员感受到工作人员的敬业、专业、亲切、信赖，多一份尊重和理解。特别是执法人员，执行公务中若穿着随意，会少了威严和震慑。</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制服采购预算6.8万元，完成制服采购8套，我局制服已统一，统一制服后工作人员在执行公务时服装整齐，油然而生神圣感、庄严感、使命感，为人民服务的意义和责任，更大程度发挥其工作主动性和积极性。统一制服，能让到国家机关联系事情的人员感受到工作人员的敬业、专业、亲切、信赖，多一份尊重和理解。特别是执法人员，执行公务中增加了威严和震慑。，在规定时间节点内，确保制服全部采购完成并交付到时间局工作人员手中，无延误情况，保障单位形象展示的及时性和统一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制服采购套数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支付往年制服采购尾款次数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执法制服验收合格率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支付制服采购金额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支付往年采购制服尾款金额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提升市场监管人员执法形象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干部职工满意度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2024年质量、计量、标准化认证认可监管专项经费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质量、计量、标准化认证认可监管专项经费主要完成下列工作：1.单翼迷宫式滴灌带抽检&gt;=3批次;2.烧结普通砖、烧结多孔砖、混凝土路面砖抽检&gt;=3批次;3.建设用粗砂、细砂、碎石抽检&gt;=2批次.通过开展定期监督检验，提高企业产品质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质量、计量、标准化认证认可监管专项经费主要完成下列工作：1.第一季度开展单翼迷宫式滴灌带抽检3批次,监督抽检合格率100%。2.第二季度开展烧结普通砖、烧结多孔砖、混凝土路面砖抽检3批次;监督抽检合格率100%。3.第二季度开展建设用粗砂、细砂、碎石抽检4批次.监督抽检合格率100%。通过开展定期监督检验，提高企业产品质量，目标任务已完成。</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单翼迷宫式滴灌带抽检批次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烧结普通砖、烧结多孔砖、混凝土路面砖抽检批次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建设用粗砂、细砂、碎石抽检批次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单翼迷宫式滴灌带产品检验合格率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烧结普通砖、烧结多孔砖、混凝土路面砖抽检合格率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建设用粗砂、细砂、碎石抽检合格率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项目完成截止时间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单翼迷宫式滴灌带质量监督管理中抽检成本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烧结普通砖、烧结多孔砖、混个凝土路面砖质量监督管理中抽检成本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&lt;=0.80万元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建设用粗砂、细沙、碎石质量监督管理中抽检成本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开展定期监督检验，提高企业产品质量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ab/>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受检单位满意度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2024年食品检测专项经费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进一步加强食品安全监管，全年抽检批次不少于90批次，科学规范做好食品安全抽检工作，每月均衡开展，及时发现食品安全问题，防控食品安全风险、排除食品安全隐患，确保公众饮食安全。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开展食品安全监督抽检84批次和食品安全“你点我检”10批次，共计94批次,全年共完成食品安全监督抽检和“你点我检”94批次，完成率100%，有效规范了辖区内假冒伪劣制品的行为，提升了人民群众对食品监管的满意度。</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食品安全监督抽检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调配资源增效率，超额完成抽检目标。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食品安全你点我检活动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不合格产品核查处置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优化机制提效能，不合格处置超年初目标。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你点我检信息公示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公众参与热，流程优化，公示超额完成，保障公众食品安全知情权。</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任务完成时间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食品安全监督抽检委托费用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食品安全你点我检抽检费用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降低不合格产品流通风险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有所下降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有所下降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群众对食品安全监管满意度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多举措齐发力，食品安全满意度超预期值</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驻村工作项目经费（新地乡木呼尔一村）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裕民县市场监督管理局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塔地财预［2024］23号，2024年裕民县财政局下达市监局2024年驻村工作经费5万元用于驻村工作队开展各项工作。提高驻村工作队为民办实事效率，围绕扶贫帮困，落实四个坚定不移的要求，为有效推进乡村振兴的各项工作添砖加瓦，增强基层各项工作的落实，让人民群众能够看的到，听得见，摸得着，增强农牧民对党和国家的认同感，增强对党的政策的认知感，从长远意义的考虑增强党在基层的民心民意为中心，不断提升服务能力和水平，扎实推进各项工作有序开展，切实保障驻村各项工作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工作队”为民办实事工作经费的设立，是以解决群众最关心、最直接、最现实的利益问题为导向，以千方百计解决群众生产生活中的实际困难为目的，及时将党和政府的温暖送到各族群众心坎上。全年项目计划实现目标如下：“目标1：全年派驻驻村工作队2个，以解决群众最关心、最直接、最现实的利益问题为导向，以千方百计解决群众生产生活中的实际困难为目的，及时将党和政府的温暖送到各族群众心坎上； 目标2：工作队全年帮扶困难群众人数不少于2户6人；目标3：工作队开展各类活动不少于8次；目标4：工作队为民办实事好事件数不少于10件。”计划通过本项目的实施，使工作队在脱贫工作上大胆创新，提升贫困群众脱贫致富发展意愿和能力，同时做好宣传全覆盖，掌控村情民意，化解矛盾纠纷；增强人民群众幸福感、满足感，同时提高居民安全水平，维护社会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慰问老党员、老干部、60岁以上老人、重度残疾人数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组织群众学习及节日庆祝活动次数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闸门、渠道维修次数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购买村两委办公用品设备设施、办公耗材维修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闸门、渠道维修合格率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慰问支出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学习、活动支出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闸门、渠道维修支出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办公用品设备设施、办公耗材维修支出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工作队服务群众的水平明显提升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木呼尔一村村民满意度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