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1、贯彻执行国家有关审计工作的方针政策，组织实施和协调全县的审计业务工作。根据县委、县</w:t>
      </w:r>
      <w:r>
        <w:rPr>
          <w:rFonts w:hint="eastAsia" w:ascii="仿宋_GB2312" w:hAnsi="仿宋_GB2312" w:eastAsia="仿宋_GB2312"/>
          <w:sz w:val="32"/>
          <w:lang w:eastAsia="zh-CN"/>
        </w:rPr>
        <w:t>人民</w:t>
      </w:r>
      <w:bookmarkStart w:id="0" w:name="_GoBack"/>
      <w:bookmarkEnd w:id="0"/>
      <w:r>
        <w:rPr>
          <w:rFonts w:ascii="仿宋_GB2312" w:hAnsi="仿宋_GB2312" w:eastAsia="仿宋_GB2312"/>
          <w:sz w:val="32"/>
        </w:rPr>
        <w:t>政府和上级审计机关要求确定审计工作重点，制定审计工作计划，研究制定本县的审计工作制度。</w:t>
      </w:r>
    </w:p>
    <w:p>
      <w:pPr>
        <w:spacing w:line="580" w:lineRule="exact"/>
        <w:ind w:firstLine="640"/>
        <w:jc w:val="both"/>
      </w:pPr>
      <w:r>
        <w:rPr>
          <w:rFonts w:ascii="仿宋_GB2312" w:hAnsi="仿宋_GB2312" w:eastAsia="仿宋_GB2312"/>
          <w:sz w:val="32"/>
        </w:rPr>
        <w:t>2、向人民政府和县各有关部门通报审计情况，提出拟订和完善县域经济调控措施的建议。</w:t>
      </w:r>
    </w:p>
    <w:p>
      <w:pPr>
        <w:spacing w:line="580" w:lineRule="exact"/>
        <w:ind w:firstLine="640"/>
        <w:jc w:val="both"/>
      </w:pPr>
      <w:r>
        <w:rPr>
          <w:rFonts w:ascii="仿宋_GB2312" w:hAnsi="仿宋_GB2312" w:eastAsia="仿宋_GB2312"/>
          <w:sz w:val="32"/>
        </w:rPr>
        <w:t>3、依据《中华人民共和国审计法》的规定，直接进行下列审计：（1）县财政预算执行情况和其他财政收支。（2）县人民政府各部门、直属事业单位及所属单位的财务收支。（3）各乡(镇)人民政府预算执行情况和决算。（4）受上级审计机关委托或授权审计县金融机构的资产、负债和损益状况。（5）县人民政府有关部门管理的和受人民政府委托由社会团体管理的社会保障资金、环境保护资金、社会捐赠资金及其他有关基金、资金的财务收支。（6）负责对国有企业的资产、负债、损益进行审计监督。（7）负责对国际组织和外国政府援助、贷款项目的财务收支进行审计监督。（8）负责对国家建设项目预算的执行情况和决算进行审计。（9）其他法律法规规定由县审计局进行的审计。</w:t>
      </w:r>
    </w:p>
    <w:p>
      <w:pPr>
        <w:spacing w:line="580" w:lineRule="exact"/>
        <w:ind w:firstLine="640"/>
        <w:jc w:val="both"/>
      </w:pPr>
      <w:r>
        <w:rPr>
          <w:rFonts w:ascii="仿宋_GB2312" w:hAnsi="仿宋_GB2312" w:eastAsia="仿宋_GB2312"/>
          <w:sz w:val="32"/>
        </w:rPr>
        <w:t>4、向人民政府提交县本级预算执行情况和审计结果报告；受县人民政府委托向县人大常委会提出县本级预算执行情况和其他财政收支审计工作报告。</w:t>
      </w:r>
    </w:p>
    <w:p>
      <w:pPr>
        <w:spacing w:line="580" w:lineRule="exact"/>
        <w:ind w:firstLine="640"/>
        <w:jc w:val="both"/>
      </w:pPr>
      <w:r>
        <w:rPr>
          <w:rFonts w:ascii="仿宋_GB2312" w:hAnsi="仿宋_GB2312" w:eastAsia="仿宋_GB2312"/>
          <w:sz w:val="32"/>
        </w:rPr>
        <w:t>5、组织实施对贯彻执行国家财经方针政策和县域经济调控措施情况的行业审计、专项审计和审计调查；按规定组织对党政领导干部和国有企业法定代表人进行经济责任审计。</w:t>
      </w:r>
    </w:p>
    <w:p>
      <w:pPr>
        <w:spacing w:line="580" w:lineRule="exact"/>
        <w:ind w:firstLine="640"/>
        <w:jc w:val="both"/>
      </w:pPr>
      <w:r>
        <w:rPr>
          <w:rFonts w:ascii="仿宋_GB2312" w:hAnsi="仿宋_GB2312" w:eastAsia="仿宋_GB2312"/>
          <w:sz w:val="32"/>
        </w:rPr>
        <w:t>6、依法检查审计决定执行情况，督促纠正和处理审计发现的问题。协助配合有关部门查处相关重大案件。</w:t>
      </w:r>
    </w:p>
    <w:p>
      <w:pPr>
        <w:spacing w:line="580" w:lineRule="exact"/>
        <w:ind w:firstLine="640"/>
        <w:jc w:val="both"/>
      </w:pPr>
      <w:r>
        <w:rPr>
          <w:rFonts w:ascii="仿宋_GB2312" w:hAnsi="仿宋_GB2312" w:eastAsia="仿宋_GB2312"/>
          <w:sz w:val="32"/>
        </w:rPr>
        <w:t>7、根据有关法律法规和人民政府规定，对县国有企业和国家重点建设项目进行审计监督；组织并对其他国有企业和国家重点建设项目的审计监督。</w:t>
      </w:r>
    </w:p>
    <w:p>
      <w:pPr>
        <w:spacing w:line="580" w:lineRule="exact"/>
        <w:ind w:firstLine="640"/>
        <w:jc w:val="both"/>
      </w:pPr>
      <w:r>
        <w:rPr>
          <w:rFonts w:ascii="仿宋_GB2312" w:hAnsi="仿宋_GB2312" w:eastAsia="仿宋_GB2312"/>
          <w:sz w:val="32"/>
        </w:rPr>
        <w:t>8、承担上级审计机关授权的审计事项；组织实施对内部审计工作的指导和监督；监督社会审计组织的审计业务质量；组织审计专业培训。</w:t>
      </w:r>
    </w:p>
    <w:p>
      <w:pPr>
        <w:spacing w:line="580" w:lineRule="exact"/>
        <w:ind w:firstLine="640"/>
        <w:jc w:val="both"/>
      </w:pPr>
      <w:r>
        <w:rPr>
          <w:rFonts w:ascii="仿宋_GB2312" w:hAnsi="仿宋_GB2312" w:eastAsia="仿宋_GB2312"/>
          <w:sz w:val="32"/>
        </w:rPr>
        <w:t>9、承担县经济责任联席会议办公室的职责。</w:t>
      </w:r>
    </w:p>
    <w:p>
      <w:pPr>
        <w:spacing w:line="580" w:lineRule="exact"/>
        <w:ind w:firstLine="640"/>
        <w:jc w:val="both"/>
      </w:pPr>
      <w:r>
        <w:rPr>
          <w:rFonts w:ascii="仿宋_GB2312" w:hAnsi="仿宋_GB2312" w:eastAsia="仿宋_GB2312"/>
          <w:sz w:val="32"/>
        </w:rPr>
        <w:t>10、承担县委、县人民政府及上级主管部门交办的其他事项。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裕民县审计局2024年度，实有人数29人，其中：在职人员15人，增加0人；离休人员0人，增加0人；退休人员14人,增加0人。</w:t>
      </w:r>
    </w:p>
    <w:p>
      <w:pPr>
        <w:spacing w:line="580" w:lineRule="exact"/>
        <w:ind w:firstLine="640"/>
        <w:jc w:val="both"/>
      </w:pPr>
      <w:r>
        <w:rPr>
          <w:rFonts w:ascii="仿宋_GB2312" w:hAnsi="仿宋_GB2312" w:eastAsia="仿宋_GB2312"/>
          <w:sz w:val="32"/>
        </w:rPr>
        <w:t>裕民县审计局无下属预算单位，下设6个科室，分别是：法制股、财经股、经责股、投资股、办公室、财务室。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2024年度收入总计309.56万元，</w:t>
      </w:r>
      <w:r>
        <w:rPr>
          <w:rFonts w:ascii="仿宋_GB2312" w:hAnsi="仿宋_GB2312" w:eastAsia="仿宋_GB2312"/>
          <w:b w:val="0"/>
          <w:sz w:val="32"/>
        </w:rPr>
        <w:t>其中：本年收入合计294.48万元，使用非财政拨款结余（含专用结余）0.00万元，年初结转和结余15.08万元。</w:t>
      </w:r>
    </w:p>
    <w:p>
      <w:pPr>
        <w:spacing w:line="580" w:lineRule="exact"/>
        <w:ind w:firstLine="640"/>
        <w:jc w:val="both"/>
      </w:pPr>
      <w:r>
        <w:rPr>
          <w:rFonts w:ascii="仿宋_GB2312" w:hAnsi="仿宋_GB2312" w:eastAsia="仿宋_GB2312"/>
          <w:b/>
          <w:sz w:val="32"/>
        </w:rPr>
        <w:t>2024年度支出总计309.56万元，</w:t>
      </w:r>
      <w:r>
        <w:rPr>
          <w:rFonts w:ascii="仿宋_GB2312" w:hAnsi="仿宋_GB2312" w:eastAsia="仿宋_GB2312"/>
          <w:b w:val="0"/>
          <w:sz w:val="32"/>
        </w:rPr>
        <w:t>其中：本年支出合计295.30万元，结余分配0.00万元，年末结转和结余14.26万元。</w:t>
      </w:r>
    </w:p>
    <w:p>
      <w:pPr>
        <w:spacing w:line="580" w:lineRule="exact"/>
        <w:ind w:firstLine="640"/>
        <w:jc w:val="both"/>
      </w:pPr>
      <w:r>
        <w:rPr>
          <w:rFonts w:ascii="仿宋_GB2312" w:hAnsi="仿宋_GB2312" w:eastAsia="仿宋_GB2312"/>
          <w:b w:val="0"/>
          <w:sz w:val="32"/>
        </w:rPr>
        <w:t>收入支出总体与上年相比，减少11.82万元，下降3.68%，主要原因是：本年减少审计业务经费，为民办实事经费减少。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本年收入294.48万元，</w:t>
      </w:r>
      <w:r>
        <w:rPr>
          <w:rFonts w:ascii="仿宋_GB2312" w:hAnsi="仿宋_GB2312" w:eastAsia="仿宋_GB2312"/>
          <w:b w:val="0"/>
          <w:sz w:val="32"/>
        </w:rPr>
        <w:t>其中：财政拨款收入288.03万元，占97.81%；上级补助收入0.00万元，占0.00%；事业收入0.00万元，占0.00%；经营收入0.00万元，占0.00%；附属单位上缴收入0.00万元，占0.00%；其他收入6.46万元，占2.19%。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本年支出295.30万元，</w:t>
      </w:r>
      <w:r>
        <w:rPr>
          <w:rFonts w:ascii="仿宋_GB2312" w:hAnsi="仿宋_GB2312" w:eastAsia="仿宋_GB2312"/>
          <w:b w:val="0"/>
          <w:sz w:val="32"/>
        </w:rPr>
        <w:t>其中：基本支出264.31万元，占89.51%；项目支出30.99万元，占10.49%；上缴上级支出0.00万元，占0.00%；经营支出0.00万元，占0.00%；对附属单位补助支出0.00万元，占0.00%。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2024年度财政拨款收入总计288.03万元，</w:t>
      </w:r>
      <w:r>
        <w:rPr>
          <w:rFonts w:ascii="仿宋_GB2312" w:hAnsi="仿宋_GB2312" w:eastAsia="仿宋_GB2312"/>
          <w:b w:val="0"/>
          <w:sz w:val="32"/>
        </w:rPr>
        <w:t>其中：年初财政拨款结转和结余0.00万元，本年财政拨款收入288.03万元。</w:t>
      </w:r>
      <w:r>
        <w:rPr>
          <w:rFonts w:ascii="仿宋_GB2312" w:hAnsi="仿宋_GB2312" w:eastAsia="仿宋_GB2312"/>
          <w:b/>
          <w:sz w:val="32"/>
        </w:rPr>
        <w:t>财政拨款支出总计288.03万元，</w:t>
      </w:r>
      <w:r>
        <w:rPr>
          <w:rFonts w:ascii="仿宋_GB2312" w:hAnsi="仿宋_GB2312" w:eastAsia="仿宋_GB2312"/>
          <w:b w:val="0"/>
          <w:sz w:val="32"/>
        </w:rPr>
        <w:t>其中：年末财政拨款结转和结余0.00万元，本年财政拨款支出288.03万元。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减少4.80万元，下降1.64%，主要原因是：为民办实事经费减少。</w:t>
      </w:r>
      <w:r>
        <w:rPr>
          <w:rFonts w:ascii="仿宋_GB2312" w:hAnsi="仿宋_GB2312" w:eastAsia="仿宋_GB2312"/>
          <w:b/>
          <w:sz w:val="32"/>
        </w:rPr>
        <w:t>与年初预算相比，</w:t>
      </w:r>
      <w:r>
        <w:rPr>
          <w:rFonts w:ascii="仿宋_GB2312" w:hAnsi="仿宋_GB2312" w:eastAsia="仿宋_GB2312"/>
          <w:b w:val="0"/>
          <w:sz w:val="32"/>
        </w:rPr>
        <w:t>年初预算数313.01万元，决算数288.03万元，预决算差异率-7.98%，主要原因是：年中调减职业年金。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2024年度一般公共预算财政拨款支出288.03万元，</w:t>
      </w:r>
      <w:r>
        <w:rPr>
          <w:rFonts w:ascii="仿宋_GB2312" w:hAnsi="仿宋_GB2312" w:eastAsia="仿宋_GB2312"/>
          <w:b w:val="0"/>
          <w:sz w:val="32"/>
        </w:rPr>
        <w:t>占本年支出合计的97.54%。</w:t>
      </w:r>
      <w:r>
        <w:rPr>
          <w:rFonts w:ascii="仿宋_GB2312" w:hAnsi="仿宋_GB2312" w:eastAsia="仿宋_GB2312"/>
          <w:b/>
          <w:sz w:val="32"/>
        </w:rPr>
        <w:t>与上年相比，</w:t>
      </w:r>
      <w:r>
        <w:rPr>
          <w:rFonts w:ascii="仿宋_GB2312" w:hAnsi="仿宋_GB2312" w:eastAsia="仿宋_GB2312"/>
          <w:b w:val="0"/>
          <w:sz w:val="32"/>
        </w:rPr>
        <w:t>减少4.80万元，下降1.64%，主要原因是：为民办实事经费减少。</w:t>
      </w:r>
      <w:r>
        <w:rPr>
          <w:rFonts w:ascii="仿宋_GB2312" w:hAnsi="仿宋_GB2312" w:eastAsia="仿宋_GB2312"/>
          <w:b/>
          <w:sz w:val="32"/>
        </w:rPr>
        <w:t>与年初预算相比,</w:t>
      </w:r>
      <w:r>
        <w:rPr>
          <w:rFonts w:ascii="仿宋_GB2312" w:hAnsi="仿宋_GB2312" w:eastAsia="仿宋_GB2312"/>
          <w:b w:val="0"/>
          <w:sz w:val="32"/>
        </w:rPr>
        <w:t>年初预算数313.01万元，决算数288.03万元，预决算差异率-7.98%，主要原因是：年中调减职业年金。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1.一般公共服务支出(类)221.89万元,占77.04%。</w:t>
      </w:r>
    </w:p>
    <w:p>
      <w:pPr>
        <w:spacing w:line="580" w:lineRule="exact"/>
        <w:ind w:firstLine="640"/>
        <w:jc w:val="both"/>
      </w:pPr>
      <w:r>
        <w:rPr>
          <w:rFonts w:ascii="仿宋_GB2312" w:hAnsi="仿宋_GB2312" w:eastAsia="仿宋_GB2312"/>
          <w:b w:val="0"/>
          <w:sz w:val="32"/>
        </w:rPr>
        <w:t>2.社会保障和就业支出(类)34.96万元,占12.14%。</w:t>
      </w:r>
    </w:p>
    <w:p>
      <w:pPr>
        <w:spacing w:line="580" w:lineRule="exact"/>
        <w:ind w:firstLine="640"/>
        <w:jc w:val="both"/>
      </w:pPr>
      <w:r>
        <w:rPr>
          <w:rFonts w:ascii="仿宋_GB2312" w:hAnsi="仿宋_GB2312" w:eastAsia="仿宋_GB2312"/>
          <w:b w:val="0"/>
          <w:sz w:val="32"/>
        </w:rPr>
        <w:t>3.卫生健康支出(类)11.86万元,占4.12%。</w:t>
      </w:r>
    </w:p>
    <w:p>
      <w:pPr>
        <w:spacing w:line="580" w:lineRule="exact"/>
        <w:ind w:firstLine="640"/>
        <w:jc w:val="both"/>
      </w:pPr>
      <w:r>
        <w:rPr>
          <w:rFonts w:ascii="仿宋_GB2312" w:hAnsi="仿宋_GB2312" w:eastAsia="仿宋_GB2312"/>
          <w:b w:val="0"/>
          <w:sz w:val="32"/>
        </w:rPr>
        <w:t>4.住房保障支出(类)19.32万元,占6.71%。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1.一般公共服务支出(类)审计事务(款)行政运行(项):支出决算数为190.91万元，比上年决算减少1.09万元，下降0.57%,主要原因是：本年减少办公经费。</w:t>
      </w:r>
    </w:p>
    <w:p>
      <w:pPr>
        <w:spacing w:line="580" w:lineRule="exact"/>
        <w:ind w:firstLine="640"/>
        <w:jc w:val="both"/>
      </w:pPr>
      <w:r>
        <w:rPr>
          <w:rFonts w:ascii="仿宋_GB2312" w:hAnsi="仿宋_GB2312" w:eastAsia="仿宋_GB2312"/>
          <w:b w:val="0"/>
          <w:sz w:val="32"/>
        </w:rPr>
        <w:t>2.一般公共服务支出(类)审计事务(款)审计业务(项):支出决算数为30.99万元，比上年决算增加8.99万元，增长40.86%,主要原因是：本年审计项目增多，审计期间的相关业务经费增加。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3.社会保障和就业支出(类)行政事业单位养老支出(款)行政单位离退休(项):支出决算数为10.46万元，比上年决算增加2.39万元，增长29.62%,主要原因是：本年增加退休人员基础绩效奖，退休费支出增加。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24.50万元，比上年决算增加2.44万元，增长11.06%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13.82万元，下降100.00%,主要原因是：本年度无退休人员和调出本县人员，故无职业年金缴费。</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6.卫生健康支出(类)行政事业单位医疗(款)行政单位医疗(项):支出决算数为10.00万元，比上年决算增加0.30万元，增长3.09%,主要原因是：本年在职人员工资基数调增，医疗缴费基数上涨，相应支出增加。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7.卫生健康支出(类)行政事业单位医疗(款)公务员医疗补助(项):支出决算数为1.86万元，比上年决算减少0.25万元，下降11.85%,主要原因是：本年在职人员工资基数调增，公务员医疗缴费基数上涨，相应支出增加。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8.住房保障支出(类)住房改革支出(款)住房公积金(项):支出决算数为19.32万元，比上年决算增加2.28万元，增长13.38%,主要原因是：本年在职人员工资基数调增，公积金缴费基数上涨，相应支出增加。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9.其他支出(类)其他支出(款)其他支出(项):支出决算数为0.00万元，比上年决算减少6.02万元，下降100.00%,主要原因是：驻社区工作队项目已完成，故无此项目支出。</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2024年度一般公共预算财政拨款基本支出257.04万元，其中：</w:t>
      </w:r>
      <w:r>
        <w:rPr>
          <w:rFonts w:ascii="仿宋_GB2312" w:hAnsi="仿宋_GB2312" w:eastAsia="仿宋_GB2312"/>
          <w:b/>
          <w:sz w:val="32"/>
        </w:rPr>
        <w:t>人员经费245.96万元，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公用经费11.08万元，</w:t>
      </w:r>
      <w:r>
        <w:rPr>
          <w:rFonts w:ascii="仿宋_GB2312" w:hAnsi="仿宋_GB2312" w:eastAsia="仿宋_GB2312"/>
          <w:b w:val="0"/>
          <w:sz w:val="32"/>
        </w:rPr>
        <w:t>包括：办公费、邮电费、取暖费、差旅费、工会经费、公务用车运行维护费、其他商品和服务支出、办公设备购置。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2024年度财政拨款“三公”经费支出1.27万元，</w:t>
      </w:r>
      <w:r>
        <w:rPr>
          <w:rFonts w:ascii="仿宋_GB2312" w:hAnsi="仿宋_GB2312" w:eastAsia="仿宋_GB2312"/>
          <w:b w:val="0"/>
          <w:sz w:val="32"/>
        </w:rPr>
        <w:t>比上年增加0.10万元，增长8.55%，主要原因是：塔城地区各县市开展交叉审计过程中，本单位增加车辆运行维护费。其中：因公出国（境）费支出0.00万元，占0.00%，比上年增加0.00万元，增长0.00%，主要原因是：2023年与2024年均未安排因公出国（境）费支出。公务用车购置及运行维护费支出1.27万元，占100.00%，比上年增加0.10万元，增长8.55%，主要原因是：塔城地区各县市开展交叉审计过程中，本单位增加车辆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1.27万元，其中：公务用车购置费0.00万元，公务用车运行维护费1.27万元。公务用车运行维护费开支内容包括车辆维修维护费、保险费、检测费、燃油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1.27万元，预决算差异率-36.50%，主要原因是：严格按照文件要求，并结合单位实际情况，压减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1.27万元，预决算差异率-36.50%，主要原因是：严格按照文件要求，并结合单位实际情况，压减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2024年度裕民县审计局（行政单位和参照公务员法管理事业单位）机关运行经费支出11.08万元，比上年减少1.73万元，下降13.51%，主要原因是：执行中央八项规定，厉行节俭，减少办公经费支出。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2024年度政府采购支出总额19.35万元，其中：政府采购货物支出1.54万元、政府采购工程支出0.00万元、政府采购服务支出17.81万元。</w:t>
      </w:r>
    </w:p>
    <w:p>
      <w:pPr>
        <w:spacing w:line="580" w:lineRule="exact"/>
        <w:ind w:firstLine="640"/>
        <w:jc w:val="both"/>
      </w:pPr>
      <w:r>
        <w:rPr>
          <w:rFonts w:ascii="仿宋_GB2312" w:hAnsi="仿宋_GB2312" w:eastAsia="仿宋_GB2312"/>
          <w:b w:val="0"/>
          <w:sz w:val="32"/>
        </w:rPr>
        <w:t>授予中小企业合同金额19.05万元，占政府采购支出总额的98.45%，其中：授予小微企业合同金额19.05万元，占政府采购支出总额的98.45%。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18.01万元，其中：副部（省）级及以上领导用车0辆、主要负责人用车0辆、机要通信用车0辆、应急保障用车0辆、执法执勤用车0辆、特种专业技术用车0辆、离退休干部服务用车0辆、其他用车1辆，其他用车主要是：开展审计业务工作期间的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330.14万元，实际执行总额295.30万元；预算绩效评价项目2个，全年预算数42.17万元，全年执行数30.99万元。预算绩效管理取得的成效：一是通过保障单位在职、退休人员的基本工资社保的发放，解决了职工的基本生活所需，显著提高了干部职工工作的积极性，明显改善了干部职工的工作、生活环境，提升了专项审计业务能力，增强了审计工作的高效性；二是进一步完善审计制度机制，依法全面履行审计监督职责，做好常态化“经济体检”工作，做到应审尽审、凡审必严，切实推动治理、服务发展、维护安全，确保审计监督更加有力、更加有效。发现的问题及原因：一是预算绩效管理工作时间紧、任务重、专业性强，我单位的预算绩效存在一些不足之处需要完善；二是经费预算编制精准度有待提高。由于预算执行中的不确定性，实际经费核算的科目、支出内容与预算会出现一定偏差。下一步改进措施：一是强化财务室与业务科室的协同配合，全面、细致考量项目的实施内容，根据核心职能活动对预算支出项目进行归集或细化。根据历年的预算支出项目的执行情况、价格上涨水平等多种因素审核确定项目支出预算项目完整性、合理性。统筹考虑下年度工作任务和上年度经费使用情况，提高预算编制的科学性；进一步健全完善财务管理制度；二是做好事前审批、事中管理和事后监督工作，不断加快预算执行进度，推动预算执行按照资金计划有序进行。具体项目自评情况附项目支出绩效自评表。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裕民县审计局</w:t>
            </w:r>
          </w:p>
        </w:tc>
      </w:tr>
      <w:tr>
        <w:tblPrEx>
          <w:tblLayout w:type="fixed"/>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343.09</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330.14</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295.30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89.45%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8.95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313.01</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308.61</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288.03</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30.08</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21.53</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7.27</w:t>
            </w:r>
          </w:p>
        </w:tc>
        <w:tc>
          <w:tcPr>
            <w:tcW w:w="1105" w:type="dxa"/>
            <w:tcBorders>
              <w:top w:val="single" w:color="auto" w:sz="10" w:space="0"/>
              <w:bottom w:val="single" w:color="auto" w:sz="10" w:space="0"/>
              <w:insideV w:val="single" w:sz="10" w:space="0"/>
            </w:tcBorders>
            <w:vAlign w:val="center"/>
          </w:tcPr>
          <w:p>
            <w:pPr>
              <w:jc w:val="center"/>
            </w:pPr>
          </w:p>
        </w:tc>
        <w:tc>
          <w:tcPr>
            <w:tcW w:w="1105" w:type="dxa"/>
            <w:tcBorders>
              <w:top w:val="single" w:color="auto" w:sz="10" w:space="0"/>
              <w:bottom w:val="single" w:color="auto" w:sz="10" w:space="0"/>
              <w:insideV w:val="single" w:sz="10" w:space="0"/>
            </w:tcBorders>
            <w:vAlign w:val="center"/>
          </w:tcPr>
          <w:p>
            <w:pPr>
              <w:jc w:val="center"/>
            </w:pPr>
          </w:p>
        </w:tc>
        <w:tc>
          <w:tcPr>
            <w:tcW w:w="1105"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3315" w:type="dxa"/>
            <w:gridSpan w:val="3"/>
            <w:tcBorders>
              <w:top w:val="single" w:color="auto" w:sz="10" w:space="0"/>
              <w:bottom w:val="single" w:color="auto" w:sz="10" w:space="0"/>
              <w:insideV w:val="single" w:sz="10" w:space="0"/>
            </w:tcBorders>
            <w:vAlign w:val="center"/>
          </w:tcPr>
          <w:p>
            <w:pPr>
              <w:jc w:val="both"/>
            </w:pPr>
            <w:r>
              <w:rPr>
                <w:rFonts w:ascii="宋体" w:hAnsi="宋体" w:eastAsia="宋体"/>
                <w:sz w:val="16"/>
              </w:rPr>
              <w:t>1.行政运行经费保障审计局正常工作运行，保障在职、退休职工工作、学习、生活的正常开展。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审计专项业务经费，是以习近平新时代中国特色社会主义思想为指导，深入贯彻落实习近平总书记关于新疆工作和审计工作的重要讲话和重要指示批示精神，坚持以党和国家工作大局作为审计工作的着力点，明确自治区、地区重点任务和裕民县2024年审计工作部署，坚持党的工作重点抓什么，审计就审什么，将党对审计工作集中统一领导的各项要求贯彻落实到新发展阶段审计工作的全过程各方面，重点加大对贯彻新发展理念、防范化解重大风险、保障民生、巩固拓展脱贫攻坚成果同乡村振兴有效衔接、重点投资项目等国家及自治区重大政策措施落实情况的审计力度。进一步完善审计制度机制，依法全面履行审计监督职责，做好常态化“经济体检”工作，做到应审尽审、凡审必严，切实推动治理、服务发展、维护安全，确保审计监督更加有力、更加有效。</w:t>
            </w:r>
          </w:p>
        </w:tc>
        <w:tc>
          <w:tcPr>
            <w:tcW w:w="4420" w:type="dxa"/>
            <w:gridSpan w:val="4"/>
            <w:tcBorders>
              <w:top w:val="single" w:color="auto" w:sz="10" w:space="0"/>
              <w:bottom w:val="single" w:color="auto" w:sz="10" w:space="0"/>
              <w:insideV w:val="single" w:sz="10" w:space="0"/>
            </w:tcBorders>
            <w:vAlign w:val="center"/>
          </w:tcPr>
          <w:p>
            <w:pPr>
              <w:jc w:val="both"/>
            </w:pPr>
            <w:r>
              <w:rPr>
                <w:rFonts w:ascii="宋体" w:hAnsi="宋体" w:eastAsia="宋体"/>
                <w:sz w:val="16"/>
              </w:rPr>
              <w:t xml:space="preserve">1.按时发放职工工资、退休补贴等，遗属人员工资福利足额发放到位，住房公积金及社保缴费按时缴纳；确保职工工作中无后顾之忧；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各部门审计项目有序开展，合理、合规的支出审计项目期间外勤经费、购买审计服务及聘请外部专家工作经费、相关业务培训、学习及需要的基本办公费，保障审计工作工作顺利实施。经费使用中要严格遵守相关财务制度，支出符合财政规定。</w:t>
            </w:r>
          </w:p>
        </w:tc>
      </w:tr>
      <w:tr>
        <w:tblPrEx>
          <w:tblLayout w:type="fixed"/>
          <w:tblCellMar>
            <w:top w:w="0" w:type="dxa"/>
            <w:left w:w="108" w:type="dxa"/>
            <w:bottom w:w="0" w:type="dxa"/>
            <w:right w:w="108" w:type="dxa"/>
          </w:tblCellMar>
        </w:tblPrEx>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干部职工人数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=27人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29人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13.95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完成审计项目个数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&gt;=6个</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6个</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被审计单位对审计建议采纳比例</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跟踪审计重大政策措施落实情况覆盖率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审计问题整改完成率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审计项目完成率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审计专项业务经费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裕民县审计局</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裕民县审计局</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30.67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30.67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65.21%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6.52</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30.67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30.67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此项目包括外勤审计期间的经费及相关审计工作中需要的基本办公、培训等支出，2024年需开展以下工作:1.经济责任专项审计、财政预算执行专项审计、援疆专项审计等6个项目，2.安排6人审计业务外出学习、工作；3.委托中介完成审计项目2个。根据上级统一安排、部署，对相关单筹集、分配和使用财政资金的情况和其他财政收支的真实、合法、效益性进行审计、监督，加大对体制机制性问题的揭示和反映力度。</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审计专项业务经费项目预算资金30.67万元，截止2024年12月31日，已经支付20万元，项目按照计划正常进行，已经完成了审计项目6个；达到了提高财产损失挽回率、促进了财政资金使用合理性、合规性的效果。该项目严格按照计划实施，并有效保障了绩效自评工作的顺利开展。</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审计项目个数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&gt;=6个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审计业务外出学习、工作人数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委托中介完成审计项目个数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被审计单位对审计建议采纳比例</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单个审计项目结束时限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&lt;=3个月</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3个月</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审计项目基本办公经费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未完成原因是：1、审计项目具有限期性的要求，截止2024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的完成支付，对已完成的审计项目及时收集相关原始凭证并支付。</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审计项目人员外出差旅费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未完成原因是：1、审计项目具有限期性的要求，截止2024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的完成支付，对已完成的审计项目及时收集相关原始凭证并支付。</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审计项目公务用车运行维护费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未完成原因是：1、审计项目具有限期性的要求，截止2024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的完成支付，对已完成的审计项目及时收集相关原始凭证并支付。</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委托中介业务费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&lt;=26.17万元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76.42%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3.82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未完成原因是：截止2024年12月31日，委托中介机构已完工审计项目2个，最终通过议价将委托费降至20万元，完成年初目标。</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促进被审计单位根据审计建议制定整改措施</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&gt;=6项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被审计单位满意度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80.34分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2024年度乡村振兴专项审计经费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裕民县审计局</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裕民县审计局</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10.99</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95.57%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9.56</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10.99</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2024年度乡村振兴专项审计项目预算11.5万元，主要用于：1.该审计项目人员的差旅费，确保工作顺利开展；2.乡村振兴审计开展期间车辆使用相关支出；3.基本办公费。通过项目实施，旨在加大对体制机制性问题的揭示和反映力度，增强人民群众幸福感、满足感。</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裕民县审计局2024年度乡村振兴专项审计经费预算资金11.5万元，截止2024年12月31日，项目资金执行10.99万元，资金执行率为95.57%，已完成该项目现场审计工作，资金主要用于审计期间人员差旅费、车辆维修维护费，部分项目经费还未支付，通过项目实施，加大了对体制机制性问题的揭示和反映力度，增强人民群众幸福感、满足感。</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乡村振兴审计项目个数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乡村振兴专项审计出差人数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&gt;=8人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审计建议采纳率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完成该审计项目的期限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&lt;=3个月</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3个月</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乡村振兴专项审计办公费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&lt;=0.52万元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未完成原因：截止2024年12月31日，已完成该项目现场审计工作，资金主要用于审计期间人员差旅费、车辆维修维护费，部分项目经费还未支付，改进措施：该项目办公经费将用于2025年相关项目中。</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乡村振兴专项审计差旅费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&lt;=10.69万元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10.69万元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乡村振兴专项审计车辆维护费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&lt;=0.29万元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0.29万元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促进被审计单位根据审计建议制定整改措施</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被审计单位对审计工作的满意度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92.56分</w:t>
            </w:r>
          </w:p>
        </w:tc>
        <w:tc>
          <w:tcPr>
            <w:tcW w:w="632" w:type="dxa"/>
            <w:tcBorders>
              <w:top w:val="single" w:color="auto" w:sz="10" w:space="0"/>
              <w:bottom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5217A1"/>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2025-09-30T02:07:42Z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