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widowControl/>
        <w:jc w:val="left"/>
        <w:rPr>
          <w:rFonts w:hint="eastAsia" w:ascii="黑体" w:hAnsi="黑体" w:eastAsia="黑体" w:cs="宋体"/>
          <w:color w:val="333333"/>
          <w:sz w:val="32"/>
          <w:szCs w:val="32"/>
        </w:rPr>
      </w:pPr>
      <w:r>
        <w:rPr>
          <w:rFonts w:hint="eastAsia" w:ascii="黑体" w:hAnsi="黑体" w:eastAsia="黑体" w:cs="宋体"/>
          <w:color w:val="333333"/>
          <w:sz w:val="32"/>
          <w:szCs w:val="32"/>
        </w:rPr>
        <w:t>附件4：</w:t>
      </w: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rPr>
          <w:rFonts w:hint="eastAsia"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numPr>
          <w:ilvl w:val="0"/>
          <w:numId w:val="1"/>
        </w:numPr>
        <w:snapToGrid w:val="0"/>
        <w:spacing w:line="540" w:lineRule="exact"/>
        <w:rPr>
          <w:rFonts w:hint="eastAsia" w:ascii="黑体" w:hAnsi="黑体" w:eastAsia="黑体" w:cs="宋体"/>
          <w:bCs/>
          <w:color w:val="333333"/>
          <w:sz w:val="32"/>
          <w:szCs w:val="32"/>
        </w:rPr>
      </w:pPr>
      <w:r>
        <w:rPr>
          <w:rFonts w:hint="eastAsia" w:ascii="黑体" w:hAnsi="黑体" w:eastAsia="黑体" w:cs="宋体"/>
          <w:bCs/>
          <w:color w:val="333333"/>
          <w:sz w:val="32"/>
          <w:szCs w:val="32"/>
        </w:rPr>
        <w:t>基本概况</w:t>
      </w:r>
    </w:p>
    <w:p>
      <w:pPr>
        <w:snapToGrid w:val="0"/>
        <w:spacing w:line="540" w:lineRule="exact"/>
        <w:ind w:left="993"/>
        <w:rPr>
          <w:rFonts w:hint="eastAsia" w:ascii="黑体" w:hAnsi="黑体" w:eastAsia="黑体" w:cs="宋体"/>
          <w:bCs/>
          <w:color w:val="333333"/>
          <w:sz w:val="32"/>
          <w:szCs w:val="32"/>
        </w:rPr>
      </w:pPr>
      <w:r>
        <w:rPr>
          <w:rStyle w:val="8"/>
          <w:rFonts w:hint="eastAsia" w:ascii="楷体" w:hAnsi="楷体" w:eastAsia="楷体" w:cs="楷体"/>
          <w:b w:val="0"/>
          <w:spacing w:val="-4"/>
          <w:sz w:val="32"/>
          <w:szCs w:val="32"/>
        </w:rPr>
        <w:t>(</w:t>
      </w:r>
      <w:bookmarkStart w:id="0" w:name="_Hlk199153249"/>
      <w:r>
        <w:rPr>
          <w:rStyle w:val="8"/>
          <w:rFonts w:hint="eastAsia" w:ascii="楷体" w:hAnsi="楷体" w:eastAsia="楷体" w:cs="楷体"/>
          <w:b w:val="0"/>
          <w:spacing w:val="-4"/>
          <w:sz w:val="32"/>
          <w:szCs w:val="32"/>
        </w:rPr>
        <w:t>一)</w:t>
      </w:r>
      <w:bookmarkEnd w:id="0"/>
      <w:r>
        <w:rPr>
          <w:rFonts w:hint="eastAsia" w:ascii="黑体" w:hAnsi="黑体" w:eastAsia="黑体" w:cs="宋体"/>
          <w:bCs/>
          <w:color w:val="333333"/>
          <w:sz w:val="32"/>
          <w:szCs w:val="32"/>
        </w:rPr>
        <w:t>部门单位基本情况:</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(1)、依据《中华人民共和国城市规划法》，实施城市规划监督。</w:t>
      </w:r>
      <w:r>
        <w:rPr>
          <w:rFonts w:hint="eastAsia" w:ascii="仿宋_GB2312" w:hAnsi="宋体" w:eastAsia="仿宋_GB2312"/>
          <w:b/>
          <w:sz w:val="32"/>
          <w:szCs w:val="32"/>
        </w:rPr>
        <w:br w:type="textWrapping"/>
      </w:r>
      <w:r>
        <w:rPr>
          <w:rFonts w:hint="eastAsia" w:ascii="仿宋_GB2312" w:hAnsi="宋体" w:eastAsia="仿宋_GB2312"/>
          <w:b/>
          <w:sz w:val="32"/>
          <w:szCs w:val="32"/>
        </w:rPr>
        <w:t>(2)、依据《城市道路管理条例》，实施城市市政工程设施的监督。</w:t>
      </w:r>
      <w:r>
        <w:rPr>
          <w:rFonts w:hint="eastAsia" w:ascii="仿宋_GB2312" w:hAnsi="宋体" w:eastAsia="仿宋_GB2312"/>
          <w:b/>
          <w:sz w:val="32"/>
          <w:szCs w:val="32"/>
        </w:rPr>
        <w:br w:type="textWrapping"/>
      </w:r>
      <w:r>
        <w:rPr>
          <w:rFonts w:hint="eastAsia" w:ascii="仿宋_GB2312" w:hAnsi="宋体" w:eastAsia="仿宋_GB2312"/>
          <w:b/>
          <w:sz w:val="32"/>
          <w:szCs w:val="32"/>
        </w:rPr>
        <w:t>(3)、依据《城市供水条例》，实施城市公用设施的监督。</w:t>
      </w:r>
      <w:r>
        <w:rPr>
          <w:rFonts w:hint="eastAsia" w:ascii="仿宋_GB2312" w:hAnsi="宋体" w:eastAsia="仿宋_GB2312"/>
          <w:b/>
          <w:sz w:val="32"/>
          <w:szCs w:val="32"/>
        </w:rPr>
        <w:br w:type="textWrapping"/>
      </w:r>
      <w:r>
        <w:rPr>
          <w:rFonts w:hint="eastAsia" w:ascii="仿宋_GB2312" w:hAnsi="宋体" w:eastAsia="仿宋_GB2312"/>
          <w:b/>
          <w:sz w:val="32"/>
          <w:szCs w:val="32"/>
        </w:rPr>
        <w:t>(4)、依据《城市市容</w:t>
      </w:r>
      <w:r>
        <w:rPr>
          <w:rFonts w:hint="eastAsia" w:ascii="仿宋_GB2312" w:hAnsi="宋体" w:eastAsia="仿宋_GB2312"/>
          <w:b/>
          <w:sz w:val="32"/>
          <w:szCs w:val="32"/>
          <w:lang w:eastAsia="zh-CN"/>
        </w:rPr>
        <w:t>和</w:t>
      </w:r>
      <w:r>
        <w:rPr>
          <w:rFonts w:hint="eastAsia" w:ascii="仿宋_GB2312" w:hAnsi="宋体" w:eastAsia="仿宋_GB2312"/>
          <w:b/>
          <w:sz w:val="32"/>
          <w:szCs w:val="32"/>
        </w:rPr>
        <w:t>环境卫生管理条例》，实施</w:t>
      </w:r>
      <w:bookmarkStart w:id="2" w:name="_GoBack"/>
      <w:bookmarkEnd w:id="2"/>
      <w:r>
        <w:rPr>
          <w:rFonts w:hint="eastAsia" w:ascii="仿宋_GB2312" w:hAnsi="宋体" w:eastAsia="仿宋_GB2312"/>
          <w:b/>
          <w:sz w:val="32"/>
          <w:szCs w:val="32"/>
        </w:rPr>
        <w:t>城市市容环境的监督。</w:t>
      </w:r>
      <w:r>
        <w:rPr>
          <w:rFonts w:hint="eastAsia" w:ascii="仿宋_GB2312" w:hAnsi="宋体" w:eastAsia="仿宋_GB2312"/>
          <w:b/>
          <w:sz w:val="32"/>
          <w:szCs w:val="32"/>
        </w:rPr>
        <w:br w:type="textWrapping"/>
      </w:r>
      <w:r>
        <w:rPr>
          <w:rFonts w:hint="eastAsia" w:ascii="仿宋_GB2312" w:hAnsi="宋体" w:eastAsia="仿宋_GB2312"/>
          <w:b/>
          <w:sz w:val="32"/>
          <w:szCs w:val="32"/>
        </w:rPr>
        <w:t>(5)、依据《城市绿化条例》，实施城市园林绿化的监督。</w:t>
      </w:r>
      <w:r>
        <w:rPr>
          <w:rFonts w:hint="eastAsia" w:ascii="仿宋_GB2312" w:hAnsi="宋体" w:eastAsia="仿宋_GB2312"/>
          <w:b/>
          <w:sz w:val="32"/>
          <w:szCs w:val="32"/>
        </w:rPr>
        <w:br w:type="textWrapping"/>
      </w:r>
      <w:r>
        <w:rPr>
          <w:rFonts w:hint="eastAsia" w:ascii="仿宋_GB2312" w:hAnsi="宋体" w:eastAsia="仿宋_GB2312"/>
          <w:b/>
          <w:sz w:val="32"/>
          <w:szCs w:val="32"/>
        </w:rPr>
        <w:t>2.机构设置及人员情况</w:t>
      </w:r>
      <w:r>
        <w:rPr>
          <w:rFonts w:hint="eastAsia" w:ascii="仿宋_GB2312" w:hAnsi="宋体" w:eastAsia="仿宋_GB2312"/>
          <w:b/>
          <w:sz w:val="32"/>
          <w:szCs w:val="32"/>
        </w:rPr>
        <w:br w:type="textWrapping"/>
      </w:r>
      <w:r>
        <w:rPr>
          <w:rFonts w:hint="eastAsia" w:ascii="仿宋_GB2312" w:hAnsi="宋体" w:eastAsia="仿宋_GB2312"/>
          <w:b/>
          <w:sz w:val="32"/>
          <w:szCs w:val="32"/>
        </w:rPr>
        <w:t>裕民县城管监察大队为参公事业单位，下设2个办公室，分别为：档案室、办公室。</w:t>
      </w:r>
      <w:r>
        <w:rPr>
          <w:rFonts w:hint="eastAsia" w:ascii="仿宋_GB2312" w:hAnsi="宋体" w:eastAsia="仿宋_GB2312"/>
          <w:b/>
          <w:sz w:val="32"/>
          <w:szCs w:val="32"/>
        </w:rPr>
        <w:br w:type="textWrapping"/>
      </w:r>
      <w:r>
        <w:rPr>
          <w:rFonts w:hint="eastAsia" w:ascii="仿宋_GB2312" w:hAnsi="宋体" w:eastAsia="仿宋_GB2312"/>
          <w:b/>
          <w:sz w:val="32"/>
          <w:szCs w:val="32"/>
        </w:rPr>
        <w:t>裕民县城管监察大队编制人数为18人，其中：行政人员编制0人、工勤人员1人、参公人员17人、事业编制0人。实有在职人数21人，其中：行政在职0人、工勤5人、参公10人、事业在职0人。离退休人员6人，其中：行政退休人员4人、事业退休2人。离休人员0人。</w:t>
      </w:r>
      <w:bookmarkStart w:id="1" w:name="_Hlk43849111"/>
      <w:bookmarkEnd w:id="1"/>
    </w:p>
    <w:p>
      <w:pPr>
        <w:spacing w:line="600" w:lineRule="exact"/>
        <w:ind w:firstLine="992" w:firstLineChars="318"/>
        <w:jc w:val="left"/>
        <w:rPr>
          <w:rFonts w:hint="eastAsia" w:ascii="黑体" w:hAnsi="黑体" w:eastAsia="黑体" w:cs="宋体"/>
          <w:bCs/>
          <w:color w:val="333333"/>
          <w:sz w:val="32"/>
          <w:szCs w:val="32"/>
        </w:rPr>
      </w:pPr>
      <w:r>
        <w:rPr>
          <w:rStyle w:val="8"/>
          <w:rFonts w:hint="eastAsia" w:ascii="楷体" w:hAnsi="楷体" w:eastAsia="楷体" w:cs="楷体"/>
          <w:b w:val="0"/>
          <w:spacing w:val="-4"/>
          <w:sz w:val="32"/>
          <w:szCs w:val="32"/>
        </w:rPr>
        <w:t>(二)</w:t>
      </w:r>
      <w:r>
        <w:rPr>
          <w:rFonts w:hint="eastAsia" w:ascii="黑体" w:hAnsi="黑体" w:eastAsia="黑体" w:cs="宋体"/>
          <w:bCs/>
          <w:color w:val="333333"/>
          <w:sz w:val="32"/>
          <w:szCs w:val="32"/>
        </w:rPr>
        <w:t>部门单位年度重点工作：</w:t>
      </w:r>
    </w:p>
    <w:p>
      <w:pPr>
        <w:spacing w:line="600" w:lineRule="exact"/>
        <w:ind w:left="1273" w:leftChars="606" w:firstLine="2"/>
        <w:jc w:val="left"/>
        <w:rPr>
          <w:rFonts w:hint="eastAsia" w:ascii="仿宋_GB2312" w:hAnsi="宋体" w:eastAsia="仿宋_GB2312"/>
          <w:b/>
          <w:sz w:val="32"/>
          <w:szCs w:val="32"/>
        </w:rPr>
      </w:pPr>
      <w:r>
        <w:rPr>
          <w:rFonts w:hint="eastAsia" w:ascii="仿宋_GB2312" w:hAnsi="宋体" w:eastAsia="仿宋_GB2312"/>
          <w:b/>
          <w:sz w:val="32"/>
          <w:szCs w:val="32"/>
        </w:rPr>
        <w:t>1.年度总体目标</w:t>
      </w:r>
      <w:r>
        <w:rPr>
          <w:rFonts w:hint="eastAsia" w:ascii="仿宋_GB2312" w:hAnsi="宋体" w:eastAsia="仿宋_GB2312"/>
          <w:b/>
          <w:sz w:val="32"/>
          <w:szCs w:val="32"/>
        </w:rPr>
        <w:br w:type="textWrapping"/>
      </w:r>
      <w:r>
        <w:rPr>
          <w:rFonts w:hint="eastAsia" w:ascii="仿宋_GB2312" w:hAnsi="宋体" w:eastAsia="仿宋_GB2312"/>
          <w:b/>
          <w:sz w:val="32"/>
          <w:szCs w:val="32"/>
        </w:rPr>
        <w:t>负责全县近1000户沿街商铺门前三包卫生和冬季冰雪清扫管理工作，负责各类摊点、户外广告设置、道路开挖、经营性占道及城区各类展销、咨询活动等临时占用城区公共场所的设置审批工作。</w:t>
      </w:r>
      <w:r>
        <w:rPr>
          <w:rFonts w:hint="eastAsia" w:ascii="仿宋_GB2312" w:hAnsi="宋体" w:eastAsia="仿宋_GB2312"/>
          <w:b/>
          <w:sz w:val="32"/>
          <w:szCs w:val="32"/>
        </w:rPr>
        <w:br w:type="textWrapping"/>
      </w:r>
      <w:r>
        <w:rPr>
          <w:rFonts w:hint="eastAsia" w:ascii="仿宋_GB2312" w:hAnsi="宋体" w:eastAsia="仿宋_GB2312"/>
          <w:b/>
          <w:sz w:val="32"/>
          <w:szCs w:val="32"/>
        </w:rPr>
        <w:t>查处占道经营，整治店外经营、流动摊点；清除城市外立面的各类小广告、办证号码，清理不合格、影响市容市貌的标牌、广告牌匾；整治人行道及商铺门前车辆乱停乱放现象；查处施工工地开挖、建筑垃圾和渣土车辆运输，广告牌匾管理、油烟排放噪音管理。</w:t>
      </w:r>
      <w:r>
        <w:rPr>
          <w:rFonts w:hint="eastAsia" w:ascii="仿宋_GB2312" w:hAnsi="宋体" w:eastAsia="仿宋_GB2312"/>
          <w:b/>
          <w:sz w:val="32"/>
          <w:szCs w:val="32"/>
        </w:rPr>
        <w:br w:type="textWrapping"/>
      </w:r>
      <w:r>
        <w:rPr>
          <w:rFonts w:hint="eastAsia" w:ascii="仿宋_GB2312" w:hAnsi="宋体" w:eastAsia="仿宋_GB2312"/>
          <w:b/>
          <w:sz w:val="32"/>
          <w:szCs w:val="32"/>
        </w:rPr>
        <w:t>2.重点工作计划</w:t>
      </w:r>
      <w:r>
        <w:rPr>
          <w:rFonts w:hint="eastAsia" w:ascii="仿宋_GB2312" w:hAnsi="宋体" w:eastAsia="仿宋_GB2312"/>
          <w:b/>
          <w:sz w:val="32"/>
          <w:szCs w:val="32"/>
        </w:rPr>
        <w:br w:type="textWrapping"/>
      </w:r>
      <w:r>
        <w:rPr>
          <w:rFonts w:hint="eastAsia" w:ascii="仿宋_GB2312" w:hAnsi="宋体" w:eastAsia="仿宋_GB2312"/>
          <w:b/>
          <w:sz w:val="32"/>
          <w:szCs w:val="32"/>
        </w:rPr>
        <w:t>一是小广告管理。城市道路路面及沿街两侧建筑物墙体、门店橱窗及各类公共设施无各种乱贴乱画乱涂的小广告、宣传品等，严禁沿街散发、张贴小广告及宣传品行为。全年共清理小广告200余条。二是门前三包管理。包卫生、包秩序、包容貌。沿街单位、门店负责维护门前秩序，保证门前无乱堆杂物、乱停车辆、乱搭乱建、乱挖乱占、乱泼污水、乱写乱画、乱贴乱挂、出店经营、摆摊设点等。整治背街小巷卫生环境13条。三是门头牌匾管理。沿街门头牌匾实行一店一牌，严禁一店多牌。门头牌匾要定期进行擦洗和维护，保持干净整洁，无锈蚀、缺字和污损现象。同时进一步规范程序，对新办理的广告牌匾进行统一规格和标准，沿街门店设置或更换门头牌匾必须经城管大队审批备案。累积排查户外广告206处，发现安全隐患22处，整改22处；排查招牌设施1726处，发现安全隐患80处，拆除10处，整改70处。四是乱停乱靠管理。组织人员利用每天巡逻时间，对机动车在人行道乱停乱放现象进行整治。对此类违规行为主要采取劝导和说服教育方式进行管理，遏制城区人行道乱停乱放车辆的现象，改善城镇发展环境和人居环境。发现违规停车90余起，引导规范停车90余起，清理“僵尸车”4辆。五是加强餐饮业整治管理。制定《餐饮娱乐服务业备案表》和《关于楼下开设餐饮意见征询书》，由哈拉布拉镇、城管监察大队、市场监督管理局共同对商住楼下餐饮行业进行监管。共备案餐饮店60家。</w:t>
      </w:r>
    </w:p>
    <w:p>
      <w:pPr>
        <w:snapToGrid w:val="0"/>
        <w:spacing w:line="540" w:lineRule="exact"/>
        <w:ind w:left="993"/>
        <w:rPr>
          <w:rFonts w:hint="eastAsia" w:ascii="黑体" w:hAnsi="黑体" w:eastAsia="黑体" w:cs="宋体"/>
          <w:b/>
          <w:color w:val="333333"/>
          <w:sz w:val="32"/>
          <w:szCs w:val="32"/>
        </w:rPr>
      </w:pPr>
      <w:r>
        <w:rPr>
          <w:rStyle w:val="8"/>
          <w:rFonts w:hint="eastAsia" w:ascii="楷体" w:hAnsi="楷体" w:eastAsia="楷体" w:cs="楷体"/>
          <w:b w:val="0"/>
          <w:spacing w:val="-4"/>
          <w:sz w:val="32"/>
          <w:szCs w:val="32"/>
        </w:rPr>
        <w:t>(三)</w:t>
      </w:r>
      <w:r>
        <w:rPr>
          <w:rFonts w:hint="eastAsia" w:ascii="黑体" w:hAnsi="黑体" w:eastAsia="黑体" w:cs="宋体"/>
          <w:bCs/>
          <w:color w:val="333333"/>
          <w:sz w:val="32"/>
          <w:szCs w:val="32"/>
        </w:rPr>
        <w:t>部门单位整体预算规模及安排情况：</w:t>
      </w:r>
    </w:p>
    <w:p>
      <w:pPr>
        <w:spacing w:line="600" w:lineRule="exact"/>
        <w:ind w:left="1273" w:leftChars="606" w:firstLine="3" w:firstLineChars="1"/>
        <w:jc w:val="left"/>
        <w:rPr>
          <w:rFonts w:hint="eastAsia" w:ascii="仿宋_GB2312" w:hAnsi="宋体" w:eastAsia="仿宋_GB2312"/>
          <w:b/>
          <w:sz w:val="32"/>
          <w:szCs w:val="32"/>
        </w:rPr>
      </w:pPr>
      <w:r>
        <w:rPr>
          <w:rFonts w:hint="eastAsia" w:ascii="仿宋_GB2312" w:hAnsi="宋体" w:eastAsia="仿宋_GB2312"/>
          <w:b/>
          <w:sz w:val="32"/>
          <w:szCs w:val="32"/>
        </w:rPr>
        <w:t>2024年裕民县城管监察大队年初预算安排303.3万元，其中财政拨款303.3万元，其他资金0万元，主要用于发放人员工资及保障单位基本办公需求。年中调整7.93万元，调整后全年预算295.37万元，预算调整率-2.61%，调整预算的主要原因为在职转退休2人，人员经费减少。</w:t>
      </w:r>
    </w:p>
    <w:p>
      <w:pPr>
        <w:numPr>
          <w:ilvl w:val="0"/>
          <w:numId w:val="1"/>
        </w:numPr>
        <w:snapToGrid w:val="0"/>
        <w:spacing w:line="540" w:lineRule="exact"/>
        <w:rPr>
          <w:rFonts w:hint="eastAsia" w:ascii="黑体" w:hAnsi="黑体" w:eastAsia="黑体" w:cs="宋体"/>
          <w:bCs/>
          <w:color w:val="333333"/>
          <w:sz w:val="32"/>
          <w:szCs w:val="32"/>
        </w:rPr>
      </w:pPr>
      <w:r>
        <w:rPr>
          <w:rFonts w:hint="eastAsia" w:ascii="黑体" w:hAnsi="黑体" w:eastAsia="黑体" w:cs="宋体"/>
          <w:bCs/>
          <w:color w:val="333333"/>
          <w:sz w:val="32"/>
          <w:szCs w:val="32"/>
        </w:rPr>
        <w:t>部门单位整体支出管理及使用情况</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（一）部门单位整体支出管理情况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w:t>
      </w:r>
      <w:r>
        <w:rPr>
          <w:rFonts w:hint="eastAsia" w:ascii="仿宋_GB2312" w:hAnsi="宋体" w:eastAsia="仿宋_GB2312"/>
          <w:b/>
          <w:sz w:val="32"/>
          <w:szCs w:val="32"/>
        </w:rPr>
        <w:br w:type="textWrapping"/>
      </w:r>
      <w:r>
        <w:rPr>
          <w:rFonts w:hint="eastAsia" w:ascii="仿宋_GB2312" w:hAnsi="宋体" w:eastAsia="仿宋_GB2312"/>
          <w:b/>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
          <w:sz w:val="32"/>
          <w:szCs w:val="32"/>
        </w:rPr>
        <w:br w:type="textWrapping"/>
      </w:r>
      <w:r>
        <w:rPr>
          <w:rFonts w:hint="eastAsia" w:ascii="仿宋_GB2312" w:hAnsi="宋体" w:eastAsia="仿宋_GB2312"/>
          <w:b/>
          <w:sz w:val="32"/>
          <w:szCs w:val="32"/>
        </w:rPr>
        <w:t>2.预算执行</w:t>
      </w:r>
      <w:r>
        <w:rPr>
          <w:rFonts w:hint="eastAsia" w:ascii="仿宋_GB2312" w:hAnsi="宋体" w:eastAsia="仿宋_GB2312"/>
          <w:b/>
          <w:sz w:val="32"/>
          <w:szCs w:val="32"/>
        </w:rPr>
        <w:br w:type="textWrapping"/>
      </w:r>
      <w:r>
        <w:rPr>
          <w:rFonts w:hint="eastAsia" w:ascii="仿宋_GB2312" w:hAnsi="宋体" w:eastAsia="仿宋_GB2312"/>
          <w:b/>
          <w:sz w:val="32"/>
          <w:szCs w:val="32"/>
        </w:rPr>
        <w:t>本单位基本支出根据单位人员编制、实有人数、资产情况等要素进行预算编制；项目支出根据单位工作职能，年度计划等要素进行预算编制。预算批复后，严格按照财政部门批复的预算和绩效目标执行。</w:t>
      </w:r>
      <w:r>
        <w:rPr>
          <w:rFonts w:hint="eastAsia" w:ascii="仿宋_GB2312" w:hAnsi="宋体" w:eastAsia="仿宋_GB2312"/>
          <w:b/>
          <w:sz w:val="32"/>
          <w:szCs w:val="32"/>
        </w:rPr>
        <w:br w:type="textWrapping"/>
      </w:r>
      <w:r>
        <w:rPr>
          <w:rFonts w:hint="eastAsia" w:ascii="仿宋_GB2312" w:hAnsi="宋体" w:eastAsia="仿宋_GB2312"/>
          <w:b/>
          <w:sz w:val="32"/>
          <w:szCs w:val="32"/>
        </w:rPr>
        <w:t>预算编制和分配符合本部门职责和任务要求，能根据年度工作重点，在不同项目、不同用途之间进行合理分配。整体绩效目标与预算确定的资金相匹配。</w:t>
      </w:r>
      <w:r>
        <w:rPr>
          <w:rFonts w:hint="eastAsia" w:ascii="仿宋_GB2312" w:hAnsi="宋体" w:eastAsia="仿宋_GB2312"/>
          <w:b/>
          <w:sz w:val="32"/>
          <w:szCs w:val="32"/>
        </w:rPr>
        <w:br w:type="textWrapping"/>
      </w:r>
      <w:r>
        <w:rPr>
          <w:rFonts w:hint="eastAsia" w:ascii="仿宋_GB2312" w:hAnsi="宋体" w:eastAsia="仿宋_GB2312"/>
          <w:b/>
          <w:sz w:val="32"/>
          <w:szCs w:val="32"/>
        </w:rPr>
        <w:t>3.绩效管理</w:t>
      </w:r>
      <w:r>
        <w:rPr>
          <w:rFonts w:hint="eastAsia" w:ascii="仿宋_GB2312" w:hAnsi="宋体" w:eastAsia="仿宋_GB2312"/>
          <w:b/>
          <w:sz w:val="32"/>
          <w:szCs w:val="32"/>
        </w:rPr>
        <w:br w:type="textWrapping"/>
      </w:r>
      <w:r>
        <w:rPr>
          <w:rFonts w:hint="eastAsia" w:ascii="仿宋_GB2312" w:hAnsi="宋体" w:eastAsia="仿宋_GB2312"/>
          <w:b/>
          <w:sz w:val="32"/>
          <w:szCs w:val="32"/>
        </w:rP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
          <w:sz w:val="32"/>
          <w:szCs w:val="32"/>
        </w:rPr>
        <w:br w:type="textWrapping"/>
      </w:r>
      <w:r>
        <w:rPr>
          <w:rFonts w:hint="eastAsia" w:ascii="仿宋_GB2312" w:hAnsi="宋体" w:eastAsia="仿宋_GB2312"/>
          <w:b/>
          <w:sz w:val="32"/>
          <w:szCs w:val="32"/>
        </w:rPr>
        <w:t>4.信息公开</w:t>
      </w:r>
      <w:r>
        <w:rPr>
          <w:rFonts w:hint="eastAsia" w:ascii="仿宋_GB2312" w:hAnsi="宋体" w:eastAsia="仿宋_GB2312"/>
          <w:b/>
          <w:sz w:val="32"/>
          <w:szCs w:val="32"/>
        </w:rPr>
        <w:br w:type="textWrapping"/>
      </w:r>
      <w:r>
        <w:rPr>
          <w:rFonts w:hint="eastAsia" w:ascii="仿宋_GB2312" w:hAnsi="宋体" w:eastAsia="仿宋_GB2312"/>
          <w:b/>
          <w:sz w:val="32"/>
          <w:szCs w:val="32"/>
        </w:rPr>
        <w:t>我单位已按要求在裕民人民政府门户网站公开部门预算信息，同步公开绩效目标表；在人民政府门户网站公开部门决算信息，同步公开自评表及自评报告。</w:t>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（二）部门单位整体支出使用情况</w:t>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1.基本支出情况</w:t>
      </w:r>
      <w:r>
        <w:rPr>
          <w:rFonts w:hint="eastAsia" w:ascii="仿宋_GB2312" w:hAnsi="宋体" w:eastAsia="仿宋_GB2312"/>
          <w:b/>
          <w:sz w:val="32"/>
          <w:szCs w:val="32"/>
        </w:rPr>
        <w:br w:type="textWrapping"/>
      </w:r>
      <w:r>
        <w:rPr>
          <w:rFonts w:hint="eastAsia" w:ascii="仿宋_GB2312" w:hAnsi="宋体" w:eastAsia="仿宋_GB2312"/>
          <w:b/>
          <w:sz w:val="32"/>
          <w:szCs w:val="32"/>
        </w:rPr>
        <w:t>2024年基本支出295.37万元，包括工资福利支出281.47万元，商品和服务支出10.43万元，对个人和家庭的补助0万元，资本性支出3.47万元。</w:t>
      </w:r>
      <w:r>
        <w:rPr>
          <w:rFonts w:hint="eastAsia" w:ascii="仿宋_GB2312" w:hAnsi="宋体" w:eastAsia="仿宋_GB2312"/>
          <w:b/>
          <w:sz w:val="32"/>
          <w:szCs w:val="32"/>
        </w:rPr>
        <w:br w:type="textWrapping"/>
      </w:r>
      <w:r>
        <w:rPr>
          <w:rFonts w:hint="eastAsia" w:ascii="仿宋_GB2312" w:hAnsi="宋体" w:eastAsia="仿宋_GB2312"/>
          <w:b/>
          <w:sz w:val="32"/>
          <w:szCs w:val="32"/>
        </w:rPr>
        <w:t>其中：“三公”经费支出0万元，比上年增加0万元，主要原因是本年无预算安排；会议费支出0万元，比上年增加0万元，主要原因是本年无预算安排；培训费支出0万元，比上年增加0万元，主要原因是本年无预算安排。</w:t>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2.专项资金支出情况</w:t>
      </w:r>
      <w:r>
        <w:rPr>
          <w:rFonts w:hint="eastAsia" w:ascii="仿宋_GB2312" w:hAnsi="宋体" w:eastAsia="仿宋_GB2312"/>
          <w:b/>
          <w:sz w:val="32"/>
          <w:szCs w:val="32"/>
        </w:rPr>
        <w:br w:type="textWrapping"/>
      </w:r>
      <w:r>
        <w:rPr>
          <w:rFonts w:hint="eastAsia" w:ascii="仿宋_GB2312" w:hAnsi="宋体" w:eastAsia="仿宋_GB2312"/>
          <w:b/>
          <w:sz w:val="32"/>
          <w:szCs w:val="32"/>
        </w:rPr>
        <w:t>2024年无专项项目资金支出。</w:t>
      </w:r>
      <w:r>
        <w:rPr>
          <w:rFonts w:hint="eastAsia" w:ascii="仿宋_GB2312" w:hAnsi="宋体" w:eastAsia="仿宋_GB2312"/>
          <w:b/>
          <w:sz w:val="32"/>
          <w:szCs w:val="32"/>
        </w:rPr>
        <w:br w:type="textWrapping"/>
      </w:r>
      <w:r>
        <w:rPr>
          <w:rFonts w:hint="eastAsia" w:ascii="仿宋_GB2312" w:hAnsi="宋体" w:eastAsia="仿宋_GB2312"/>
          <w:b/>
          <w:sz w:val="32"/>
          <w:szCs w:val="32"/>
        </w:rPr>
        <w:t>3.部门单位专项组织实施情况</w:t>
      </w:r>
      <w:r>
        <w:rPr>
          <w:rFonts w:hint="eastAsia" w:ascii="仿宋_GB2312" w:hAnsi="宋体" w:eastAsia="仿宋_GB2312"/>
          <w:b/>
          <w:sz w:val="32"/>
          <w:szCs w:val="32"/>
        </w:rPr>
        <w:br w:type="textWrapping"/>
      </w:r>
      <w:r>
        <w:rPr>
          <w:rFonts w:hint="eastAsia" w:ascii="仿宋_GB2312" w:hAnsi="宋体" w:eastAsia="仿宋_GB2312"/>
          <w:b/>
          <w:sz w:val="32"/>
          <w:szCs w:val="32"/>
        </w:rPr>
        <w:t>2024年我单位无中央和自治区专项转移支付预算安排专项资金。</w:t>
      </w:r>
    </w:p>
    <w:p>
      <w:pPr>
        <w:numPr>
          <w:ilvl w:val="0"/>
          <w:numId w:val="1"/>
        </w:numPr>
        <w:snapToGrid w:val="0"/>
        <w:spacing w:line="540" w:lineRule="exact"/>
        <w:rPr>
          <w:rFonts w:hint="eastAsia" w:ascii="黑体" w:hAnsi="黑体" w:eastAsia="黑体" w:cs="宋体"/>
          <w:color w:val="333333"/>
          <w:sz w:val="32"/>
          <w:szCs w:val="32"/>
        </w:rPr>
      </w:pPr>
      <w:r>
        <w:rPr>
          <w:rFonts w:ascii="黑体" w:hAnsi="黑体" w:eastAsia="黑体" w:cs="宋体"/>
          <w:color w:val="333333"/>
          <w:sz w:val="32"/>
          <w:szCs w:val="32"/>
        </w:rPr>
        <w:t>部门单位整体支出绩效分析</w:t>
      </w:r>
    </w:p>
    <w:p>
      <w:pPr>
        <w:spacing w:line="600" w:lineRule="exact"/>
        <w:ind w:left="1273" w:leftChars="600" w:hanging="13" w:hangingChars="4"/>
        <w:jc w:val="left"/>
        <w:rPr>
          <w:rFonts w:hint="eastAsia" w:ascii="仿宋_GB2312" w:hAnsi="宋体" w:eastAsia="仿宋_GB2312"/>
          <w:b/>
          <w:sz w:val="32"/>
          <w:szCs w:val="32"/>
        </w:rPr>
      </w:pPr>
      <w:r>
        <w:rPr>
          <w:rFonts w:hint="eastAsia" w:ascii="仿宋_GB2312" w:hAnsi="宋体" w:eastAsia="仿宋_GB2312"/>
          <w:b/>
          <w:sz w:val="32"/>
          <w:szCs w:val="32"/>
        </w:rPr>
        <w:t>（一）预算执行情况分析</w:t>
      </w:r>
      <w:r>
        <w:rPr>
          <w:rFonts w:hint="eastAsia" w:ascii="仿宋_GB2312" w:hAnsi="宋体" w:eastAsia="仿宋_GB2312"/>
          <w:b/>
          <w:sz w:val="32"/>
          <w:szCs w:val="32"/>
        </w:rPr>
        <w:br w:type="textWrapping"/>
      </w:r>
      <w:r>
        <w:rPr>
          <w:rFonts w:hint="eastAsia" w:ascii="仿宋_GB2312" w:hAnsi="宋体" w:eastAsia="仿宋_GB2312"/>
          <w:b/>
          <w:sz w:val="32"/>
          <w:szCs w:val="32"/>
        </w:rPr>
        <w:t>2024年裕民县城管监察大队总支出295.37万元，预算执行率100%，其中社会保障和就业支出42.52万元、卫生健康支出14.42万元、城乡社区支出219.13万元、住房保障支出19.29万元。</w:t>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1.基本支出使用情况</w:t>
      </w:r>
      <w:r>
        <w:rPr>
          <w:rFonts w:hint="eastAsia" w:ascii="仿宋_GB2312" w:hAnsi="宋体" w:eastAsia="仿宋_GB2312"/>
          <w:b/>
          <w:sz w:val="32"/>
          <w:szCs w:val="32"/>
        </w:rPr>
        <w:br w:type="textWrapping"/>
      </w:r>
      <w:r>
        <w:rPr>
          <w:rFonts w:hint="eastAsia" w:ascii="仿宋_GB2312" w:hAnsi="宋体" w:eastAsia="仿宋_GB2312"/>
          <w:b/>
          <w:sz w:val="32"/>
          <w:szCs w:val="32"/>
        </w:rPr>
        <w:t>2024年，裕民县城管监察大队基本支出295.37万元，占总支出的100％，其中：社会保障和就业支出42.52万元、卫生健康支出14.42万元、城乡社区支出219.13万元、住房保障支出19.29万元。</w:t>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2.项目支出使用情况</w:t>
      </w:r>
      <w:r>
        <w:rPr>
          <w:rFonts w:hint="eastAsia" w:ascii="仿宋_GB2312" w:hAnsi="宋体" w:eastAsia="仿宋_GB2312"/>
          <w:b/>
          <w:sz w:val="32"/>
          <w:szCs w:val="32"/>
        </w:rPr>
        <w:br w:type="textWrapping"/>
      </w:r>
      <w:r>
        <w:rPr>
          <w:rFonts w:hint="eastAsia" w:ascii="仿宋_GB2312" w:hAnsi="宋体" w:eastAsia="仿宋_GB2312"/>
          <w:b/>
          <w:sz w:val="32"/>
          <w:szCs w:val="32"/>
        </w:rPr>
        <w:t>2024年，裕民县城管监察大队无项目支出。</w:t>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（二）部门单位整体支出绩效指标完成情况分析</w:t>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年初我单位设置部门整体绩效目标中包括一级指标1个履职效能二级指标1个，三级指标8个，指标完成情况分析如下：</w:t>
      </w:r>
      <w:r>
        <w:rPr>
          <w:rFonts w:hint="eastAsia" w:ascii="仿宋_GB2312" w:hAnsi="宋体" w:eastAsia="仿宋_GB2312"/>
          <w:b/>
          <w:sz w:val="32"/>
          <w:szCs w:val="32"/>
        </w:rPr>
        <w:br w:type="textWrapping"/>
      </w:r>
      <w:r>
        <w:rPr>
          <w:rFonts w:hint="eastAsia" w:ascii="仿宋_GB2312" w:hAnsi="宋体" w:eastAsia="仿宋_GB2312"/>
          <w:b/>
          <w:sz w:val="32"/>
          <w:szCs w:val="32"/>
        </w:rPr>
        <w:t>1.履职效能</w:t>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br w:type="textWrapping"/>
      </w:r>
      <w:r>
        <w:rPr>
          <w:rFonts w:hint="eastAsia" w:ascii="仿宋_GB2312" w:hAnsi="宋体" w:eastAsia="仿宋_GB2312"/>
          <w:b/>
          <w:sz w:val="32"/>
          <w:szCs w:val="32"/>
        </w:rPr>
        <w:t>指标1：审批门头牌匾数量，指标值：&gt;=72起，年中监控完成值：0起，自评完成值：72起，指标完成率100%，偏差0%，完善城市管理长效机制，改善市容市貌、规范城区经营秩序。</w:t>
      </w:r>
      <w:r>
        <w:rPr>
          <w:rFonts w:hint="eastAsia" w:ascii="仿宋_GB2312" w:hAnsi="宋体" w:eastAsia="仿宋_GB2312"/>
          <w:b/>
          <w:sz w:val="32"/>
          <w:szCs w:val="32"/>
        </w:rPr>
        <w:br w:type="textWrapping"/>
      </w:r>
      <w:r>
        <w:rPr>
          <w:rFonts w:hint="eastAsia" w:ascii="仿宋_GB2312" w:hAnsi="宋体" w:eastAsia="仿宋_GB2312"/>
          <w:b/>
          <w:sz w:val="32"/>
          <w:szCs w:val="32"/>
        </w:rPr>
        <w:t>指标2：开出车辆通行证数量，指标值：&gt;=82辆，年中监控完成值：0辆，自评完成值：36辆，指标完成率43.9%，偏差56.1%，偏差原因是开出车辆通行证减少，改进措施是日后加强城区渣土运输管理和建筑渣土乱倾乱倒治理,推进新地乡水管所北侧倾倒点的规范化管理。</w:t>
      </w:r>
      <w:r>
        <w:rPr>
          <w:rFonts w:hint="eastAsia" w:ascii="仿宋_GB2312" w:hAnsi="宋体" w:eastAsia="仿宋_GB2312"/>
          <w:b/>
          <w:sz w:val="32"/>
          <w:szCs w:val="32"/>
        </w:rPr>
        <w:br w:type="textWrapping"/>
      </w:r>
      <w:r>
        <w:rPr>
          <w:rFonts w:hint="eastAsia" w:ascii="仿宋_GB2312" w:hAnsi="宋体" w:eastAsia="仿宋_GB2312"/>
          <w:b/>
          <w:sz w:val="32"/>
          <w:szCs w:val="32"/>
        </w:rPr>
        <w:t>指标3：备案餐饮店数量，指标值：&gt;=115家，年中监控完成值：0家，自评完成值：60家 ，指标完成率52.17%，偏差47.83%，偏差原因是新开的餐饮店数量减少，改进措施是制定《餐饮娱乐服务业备案表》和《关于楼下开设餐饮意见征询书》，由哈拉布拉镇、城管监察大队、市场监督管理局共同对商住楼下餐饮行业进行监管。</w:t>
      </w:r>
      <w:r>
        <w:rPr>
          <w:rFonts w:hint="eastAsia" w:ascii="仿宋_GB2312" w:hAnsi="宋体" w:eastAsia="仿宋_GB2312"/>
          <w:b/>
          <w:sz w:val="32"/>
          <w:szCs w:val="32"/>
        </w:rPr>
        <w:br w:type="textWrapping"/>
      </w:r>
      <w:r>
        <w:rPr>
          <w:rFonts w:hint="eastAsia" w:ascii="仿宋_GB2312" w:hAnsi="宋体" w:eastAsia="仿宋_GB2312"/>
          <w:b/>
          <w:sz w:val="32"/>
          <w:szCs w:val="32"/>
        </w:rPr>
        <w:t>指标4：清理“僵尸车”数量，指标值：&gt;=15辆，年中监控完成值：0辆，自评完成值：15辆，指标完成率0%，偏差0%，有效完成了对人行道乱停乱放现象进行整治。</w:t>
      </w:r>
      <w:r>
        <w:rPr>
          <w:rFonts w:hint="eastAsia" w:ascii="仿宋_GB2312" w:hAnsi="宋体" w:eastAsia="仿宋_GB2312"/>
          <w:b/>
          <w:sz w:val="32"/>
          <w:szCs w:val="32"/>
        </w:rPr>
        <w:br w:type="textWrapping"/>
      </w:r>
      <w:r>
        <w:rPr>
          <w:rFonts w:hint="eastAsia" w:ascii="仿宋_GB2312" w:hAnsi="宋体" w:eastAsia="仿宋_GB2312"/>
          <w:b/>
          <w:sz w:val="32"/>
          <w:szCs w:val="32"/>
        </w:rPr>
        <w:t>指标5：排查路面光缆数量，指标值：&gt;=163条，年中监控完成值：0条，自评完成值：163条，指标完成率100%，偏差0%，严格贯彻实施《城市市容和环境生管理条例》，查处占道经营，整治店外经营、流动摊点。</w:t>
      </w:r>
      <w:r>
        <w:rPr>
          <w:rFonts w:hint="eastAsia" w:ascii="仿宋_GB2312" w:hAnsi="宋体" w:eastAsia="仿宋_GB2312"/>
          <w:b/>
          <w:sz w:val="32"/>
          <w:szCs w:val="32"/>
        </w:rPr>
        <w:br w:type="textWrapping"/>
      </w:r>
      <w:r>
        <w:rPr>
          <w:rFonts w:hint="eastAsia" w:ascii="仿宋_GB2312" w:hAnsi="宋体" w:eastAsia="仿宋_GB2312"/>
          <w:b/>
          <w:sz w:val="32"/>
          <w:szCs w:val="32"/>
        </w:rPr>
        <w:t>指标6：设立小家菜摊点数量，指标值：&gt;=22个，年中监控完成值：0个，自评完成值：22个，指标完成率100%，偏差0%，有效改善治理环境卫生脏、乱、差现象，确保街道整洁、管理规范，无违章占道设置各类经营摊点。</w:t>
      </w:r>
      <w:r>
        <w:rPr>
          <w:rFonts w:hint="eastAsia" w:ascii="仿宋_GB2312" w:hAnsi="宋体" w:eastAsia="仿宋_GB2312"/>
          <w:b/>
          <w:sz w:val="32"/>
          <w:szCs w:val="32"/>
        </w:rPr>
        <w:br w:type="textWrapping"/>
      </w:r>
      <w:r>
        <w:rPr>
          <w:rFonts w:hint="eastAsia" w:ascii="仿宋_GB2312" w:hAnsi="宋体" w:eastAsia="仿宋_GB2312"/>
          <w:b/>
          <w:sz w:val="32"/>
          <w:szCs w:val="32"/>
        </w:rPr>
        <w:t>指标7：设立鸡苗摊点数量，指标值：&gt;=22个，年中监控完成值：0，自评完成值：22个，指标完成率100%，偏差0%，有效改善治理环境卫生脏、乱、差现象，确保街道整洁、管理规范，无违章占道设置各类经营摊点。</w:t>
      </w:r>
      <w:r>
        <w:rPr>
          <w:rFonts w:hint="eastAsia" w:ascii="仿宋_GB2312" w:hAnsi="宋体" w:eastAsia="仿宋_GB2312"/>
          <w:b/>
          <w:sz w:val="32"/>
          <w:szCs w:val="32"/>
        </w:rPr>
        <w:br w:type="textWrapping"/>
      </w:r>
      <w:r>
        <w:rPr>
          <w:rFonts w:hint="eastAsia" w:ascii="仿宋_GB2312" w:hAnsi="宋体" w:eastAsia="仿宋_GB2312"/>
          <w:b/>
          <w:sz w:val="32"/>
          <w:szCs w:val="32"/>
        </w:rPr>
        <w:t>指标8：出动执法人次，指标值：&gt;=200余次，年中监控完成值：0，自评完成值：200余次，指标完成率100%，偏差0%，完善城市管理长效机制，把整治市容市貌、规范城区经营秩序，强化城区道路管理作为提升城市形象。</w:t>
      </w:r>
    </w:p>
    <w:p>
      <w:pPr>
        <w:numPr>
          <w:ilvl w:val="0"/>
          <w:numId w:val="1"/>
        </w:numPr>
        <w:snapToGrid w:val="0"/>
        <w:spacing w:line="540" w:lineRule="exact"/>
        <w:rPr>
          <w:rFonts w:hint="eastAsia" w:ascii="黑体" w:hAnsi="黑体" w:eastAsia="黑体" w:cs="宋体"/>
          <w:bCs/>
          <w:color w:val="333333"/>
          <w:sz w:val="32"/>
          <w:szCs w:val="32"/>
        </w:rPr>
      </w:pPr>
      <w:r>
        <w:rPr>
          <w:rFonts w:hint="eastAsia" w:ascii="黑体" w:hAnsi="黑体" w:eastAsia="黑体" w:cs="宋体"/>
          <w:bCs/>
          <w:color w:val="333333"/>
          <w:sz w:val="32"/>
          <w:szCs w:val="32"/>
        </w:rPr>
        <w:t>评价结论</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2024年度部门整体支出绩效评价综合得分89分，评价结果为“良”。</w:t>
      </w:r>
    </w:p>
    <w:p>
      <w:pPr>
        <w:numPr>
          <w:ilvl w:val="0"/>
          <w:numId w:val="1"/>
        </w:numPr>
        <w:snapToGrid w:val="0"/>
        <w:spacing w:line="540" w:lineRule="exact"/>
        <w:rPr>
          <w:rFonts w:hint="eastAsia" w:ascii="黑体" w:hAnsi="黑体" w:eastAsia="黑体" w:cs="宋体"/>
          <w:bCs/>
          <w:color w:val="333333"/>
          <w:sz w:val="32"/>
          <w:szCs w:val="32"/>
        </w:rPr>
      </w:pPr>
      <w:r>
        <w:rPr>
          <w:rFonts w:hint="eastAsia" w:ascii="黑体" w:hAnsi="黑体" w:eastAsia="黑体" w:cs="宋体"/>
          <w:bCs/>
          <w:color w:val="333333"/>
          <w:sz w:val="32"/>
          <w:szCs w:val="32"/>
        </w:rPr>
        <w:t>存在的主要问题及原因分析</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（一）绩效管理方面</w:t>
      </w:r>
      <w:r>
        <w:rPr>
          <w:rFonts w:hint="eastAsia" w:ascii="仿宋_GB2312" w:hAnsi="宋体" w:eastAsia="仿宋_GB2312"/>
          <w:b/>
          <w:sz w:val="32"/>
          <w:szCs w:val="32"/>
        </w:rPr>
        <w:br w:type="textWrapping"/>
      </w:r>
      <w:r>
        <w:rPr>
          <w:rFonts w:hint="eastAsia" w:ascii="仿宋_GB2312" w:hAnsi="宋体" w:eastAsia="仿宋_GB2312"/>
          <w:b/>
          <w:sz w:val="32"/>
          <w:szCs w:val="32"/>
        </w:rPr>
        <w:t>1.绩效管理理念有待进一步强化。一些单位存在重投入轻管理、重支出轻绩效的问题，对预算项目绩效管理工作重视不够。要转变思想观念，牢固树立绩效意识，履行绩效主体职责，严格落实全面实施预算绩效管理各项工作任务，完善内部管理制度，切实加强绩效管理工作。</w:t>
      </w:r>
      <w:r>
        <w:rPr>
          <w:rFonts w:hint="eastAsia" w:ascii="仿宋_GB2312" w:hAnsi="宋体" w:eastAsia="仿宋_GB2312"/>
          <w:b/>
          <w:sz w:val="32"/>
          <w:szCs w:val="32"/>
        </w:rPr>
        <w:br w:type="textWrapping"/>
      </w:r>
      <w:r>
        <w:rPr>
          <w:rFonts w:hint="eastAsia" w:ascii="仿宋_GB2312" w:hAnsi="宋体" w:eastAsia="仿宋_GB2312"/>
          <w:b/>
          <w:sz w:val="32"/>
          <w:szCs w:val="32"/>
        </w:rPr>
        <w:t>2.预算编制工作可进一步细化。加强预算编制管理，提高项目支出事前审核控制，进一步提高预算编制的合理性及执行力。</w:t>
      </w:r>
      <w:r>
        <w:rPr>
          <w:rFonts w:hint="eastAsia" w:ascii="仿宋_GB2312" w:hAnsi="宋体" w:eastAsia="仿宋_GB2312"/>
          <w:b/>
          <w:sz w:val="32"/>
          <w:szCs w:val="32"/>
        </w:rPr>
        <w:br w:type="textWrapping"/>
      </w:r>
      <w:r>
        <w:rPr>
          <w:rFonts w:hint="eastAsia" w:ascii="仿宋_GB2312" w:hAnsi="宋体" w:eastAsia="仿宋_GB2312"/>
          <w:b/>
          <w:sz w:val="32"/>
          <w:szCs w:val="32"/>
        </w:rPr>
        <w:t>3.固定资产管理有待进一步加强。固定资产规模大，数量多，日常监督管理有待进一步加强。</w:t>
      </w:r>
      <w:r>
        <w:rPr>
          <w:rFonts w:hint="eastAsia" w:ascii="仿宋_GB2312" w:hAnsi="宋体" w:eastAsia="仿宋_GB2312"/>
          <w:b/>
          <w:sz w:val="32"/>
          <w:szCs w:val="32"/>
        </w:rPr>
        <w:br w:type="textWrapping"/>
      </w:r>
      <w:r>
        <w:rPr>
          <w:rFonts w:hint="eastAsia" w:ascii="仿宋_GB2312" w:hAnsi="宋体" w:eastAsia="仿宋_GB2312"/>
          <w:b/>
          <w:sz w:val="32"/>
          <w:szCs w:val="32"/>
        </w:rPr>
        <w:t>4.预算绩效管理工作时间紧、任务重、专业性强，我单位的预算绩效存在一些不足之处需要完善。</w:t>
      </w:r>
      <w:r>
        <w:rPr>
          <w:rFonts w:hint="eastAsia" w:ascii="仿宋_GB2312" w:hAnsi="宋体" w:eastAsia="仿宋_GB2312"/>
          <w:b/>
          <w:sz w:val="32"/>
          <w:szCs w:val="32"/>
        </w:rPr>
        <w:br w:type="textWrapping"/>
      </w:r>
      <w:r>
        <w:rPr>
          <w:rFonts w:hint="eastAsia" w:ascii="仿宋_GB2312" w:hAnsi="宋体" w:eastAsia="仿宋_GB2312"/>
          <w:b/>
          <w:sz w:val="32"/>
          <w:szCs w:val="32"/>
        </w:rPr>
        <w:t>5.预算绩效管理缺乏系统的培训，造成预算绩效管理指导不到位、认识不到位，理解不充分，对预算绩效管理工作重点把握不到位。</w:t>
      </w:r>
    </w:p>
    <w:p>
      <w:pPr>
        <w:numPr>
          <w:ilvl w:val="0"/>
          <w:numId w:val="1"/>
        </w:numPr>
        <w:snapToGrid w:val="0"/>
        <w:spacing w:line="540" w:lineRule="exact"/>
        <w:rPr>
          <w:rFonts w:hint="eastAsia" w:ascii="黑体" w:hAnsi="黑体" w:eastAsia="黑体" w:cs="宋体"/>
          <w:bCs/>
          <w:color w:val="333333"/>
          <w:sz w:val="32"/>
          <w:szCs w:val="32"/>
        </w:rPr>
      </w:pPr>
      <w:r>
        <w:rPr>
          <w:rFonts w:hint="eastAsia" w:ascii="黑体" w:hAnsi="黑体" w:eastAsia="黑体" w:cs="宋体"/>
          <w:bCs/>
          <w:color w:val="333333"/>
          <w:sz w:val="32"/>
          <w:szCs w:val="32"/>
        </w:rPr>
        <w:t>改进措施和建议</w:t>
      </w:r>
    </w:p>
    <w:p>
      <w:pPr>
        <w:pStyle w:val="11"/>
        <w:spacing w:line="600" w:lineRule="exact"/>
        <w:ind w:left="1368" w:firstLine="0" w:firstLineChars="0"/>
        <w:jc w:val="left"/>
        <w:rPr>
          <w:rFonts w:hint="eastAsia" w:ascii="仿宋_GB2312" w:hAnsi="宋体" w:eastAsia="仿宋_GB2312"/>
          <w:b/>
          <w:sz w:val="32"/>
          <w:szCs w:val="32"/>
        </w:rPr>
      </w:pPr>
      <w:r>
        <w:rPr>
          <w:rFonts w:hint="eastAsia" w:ascii="仿宋_GB2312" w:hAnsi="宋体" w:eastAsia="仿宋_GB2312"/>
          <w:b/>
          <w:sz w:val="32"/>
          <w:szCs w:val="32"/>
        </w:rPr>
        <w:t>（一）改进措施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1.加强预算执行管理。做好事前审批、事中管理和事后监督工作，不断加快预算执行进度，推动预算执行按照资金计划有序进行。</w:t>
      </w:r>
      <w:r>
        <w:rPr>
          <w:rFonts w:hint="eastAsia" w:ascii="仿宋_GB2312" w:hAnsi="宋体" w:eastAsia="仿宋_GB2312"/>
          <w:b/>
          <w:sz w:val="32"/>
          <w:szCs w:val="32"/>
        </w:rPr>
        <w:br w:type="textWrapping"/>
      </w:r>
      <w:r>
        <w:rPr>
          <w:rFonts w:hint="eastAsia" w:ascii="仿宋_GB2312" w:hAnsi="宋体" w:eastAsia="仿宋_GB2312"/>
          <w:b/>
          <w:sz w:val="32"/>
          <w:szCs w:val="32"/>
        </w:rPr>
        <w:t>2.不断完善预算绩效管理相关工作制度，建立全过程预算绩效管理链条，有效贯彻落实全面实施绩效管理的精神。</w:t>
      </w:r>
      <w:r>
        <w:rPr>
          <w:rFonts w:hint="eastAsia" w:ascii="仿宋_GB2312" w:hAnsi="宋体" w:eastAsia="仿宋_GB2312"/>
          <w:b/>
          <w:sz w:val="32"/>
          <w:szCs w:val="32"/>
        </w:rPr>
        <w:br w:type="textWrapping"/>
      </w:r>
      <w:r>
        <w:rPr>
          <w:rFonts w:hint="eastAsia" w:ascii="仿宋_GB2312" w:hAnsi="宋体" w:eastAsia="仿宋_GB2312"/>
          <w:b/>
          <w:sz w:val="32"/>
          <w:szCs w:val="32"/>
        </w:rPr>
        <w:t>3.强化支出预算约束，进一步提高年初预算编制的科学性和准确性，完善预算执行动态约束机制，加强财政预算资金管理，统筹协调推进项目执行，提高财政资金效益和效果。</w:t>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sz w:val="32"/>
          <w:szCs w:val="32"/>
        </w:rPr>
        <w:br w:type="textWrapping"/>
      </w:r>
      <w:r>
        <w:rPr>
          <w:rFonts w:hint="eastAsia" w:ascii="仿宋_GB2312" w:hAnsi="宋体" w:eastAsia="仿宋_GB2312"/>
          <w:b/>
          <w:sz w:val="32"/>
          <w:szCs w:val="32"/>
        </w:rPr>
        <w:t>2.在保证资金安全的前提下加快资金支出进度，支出条件已经成熟的项目，抓紧报销，尽快形成有效支出。</w:t>
      </w:r>
      <w:r>
        <w:rPr>
          <w:rFonts w:hint="eastAsia" w:ascii="仿宋_GB2312" w:hAnsi="宋体" w:eastAsia="仿宋_GB2312"/>
          <w:b/>
          <w:sz w:val="32"/>
          <w:szCs w:val="32"/>
        </w:rPr>
        <w:br w:type="textWrapping"/>
      </w:r>
      <w:r>
        <w:rPr>
          <w:rFonts w:hint="eastAsia" w:ascii="仿宋_GB2312" w:hAnsi="宋体" w:eastAsia="仿宋_GB2312"/>
          <w:b/>
          <w:sz w:val="32"/>
          <w:szCs w:val="32"/>
        </w:rPr>
        <w:t>3. 压实责任，加强监督监管。要求项目建设单位切实履行主体责任，倒排工期，列出时间表，加快推进项目建设，使项目尽早建成投入使用；项目主管部门要加强监管，建立项目建设进度台账，定期跟踪项目实施情况，定期督查项目建设进度，对确因客观原因无法按期动工的项目资金，及时申请退回同级财政，以减少和防范资金管理风险。</w:t>
      </w:r>
    </w:p>
    <w:p>
      <w:pPr>
        <w:spacing w:line="600" w:lineRule="exact"/>
        <w:ind w:firstLine="624" w:firstLineChars="200"/>
        <w:jc w:val="left"/>
        <w:rPr>
          <w:rFonts w:hint="eastAsia" w:ascii="黑体" w:hAnsi="黑体" w:eastAsia="黑体" w:cs="宋体"/>
          <w:b/>
          <w:color w:val="333333"/>
        </w:rPr>
      </w:pPr>
      <w:r>
        <w:rPr>
          <w:rStyle w:val="8"/>
          <w:rFonts w:hint="eastAsia" w:ascii="黑体" w:hAnsi="黑体" w:eastAsia="黑体"/>
          <w:b w:val="0"/>
          <w:bCs w:val="0"/>
          <w:spacing w:val="-4"/>
          <w:sz w:val="32"/>
          <w:szCs w:val="32"/>
        </w:rPr>
        <w:t>七、</w:t>
      </w:r>
      <w:r>
        <w:rPr>
          <w:rFonts w:hint="eastAsia" w:ascii="黑体" w:hAnsi="黑体" w:eastAsia="黑体" w:cs="宋体"/>
          <w:bCs/>
          <w:color w:val="333333"/>
          <w:sz w:val="32"/>
          <w:szCs w:val="32"/>
        </w:rPr>
        <w:t>附表：《部门整体支出绩效自评表》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Calibri Light">
    <w:altName w:val="Calibri"/>
    <w:panose1 w:val="020F0302020204030204"/>
    <w:charset w:val="00"/>
    <w:family w:val="swiss"/>
    <w:pitch w:val="default"/>
    <w:sig w:usb0="00000000" w:usb1="00000000" w:usb2="00000009" w:usb3="00000000" w:csb0="0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C02A4D"/>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nhideWhenUsed="0" w:uiPriority="99" w:semiHidden="0"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link w:val="1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8">
    <w:name w:val="Strong"/>
    <w:basedOn w:val="7"/>
    <w:qFormat/>
    <w:uiPriority w:val="0"/>
    <w:rPr>
      <w:b/>
      <w:bCs/>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paragraph" w:styleId="11">
    <w:name w:val="List Paragraph"/>
    <w:basedOn w:val="1"/>
    <w:qFormat/>
    <w:uiPriority w:val="99"/>
    <w:pPr>
      <w:ind w:firstLine="420" w:firstLineChars="200"/>
    </w:pPr>
  </w:style>
  <w:style w:type="character" w:customStyle="1" w:styleId="12">
    <w:name w:val="标题 4 字符"/>
    <w:basedOn w:val="7"/>
    <w:link w:val="2"/>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58</Words>
  <Characters>336</Characters>
  <Lines>2</Lines>
  <Paragraphs>1</Paragraphs>
  <TotalTime>25</TotalTime>
  <ScaleCrop>false</ScaleCrop>
  <LinksUpToDate>false</LinksUpToDate>
  <CharactersWithSpaces>393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2025-10-13T04:31:49Z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