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裕民县城管监察大队2024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rPr>
          <w:w w:val="98"/>
          <w:sz w:val="32"/>
        </w:rPr>
      </w:pPr>
      <w:r>
        <w:rPr>
          <w:rFonts w:ascii="仿宋_GB2312" w:hAnsi="仿宋_GB2312" w:eastAsia="仿宋_GB2312"/>
          <w:w w:val="98"/>
          <w:sz w:val="32"/>
        </w:rPr>
        <w:t>(1)依据《中华人民共和国城市规划法》，实施城市规划监督。</w:t>
      </w:r>
    </w:p>
    <w:p>
      <w:pPr>
        <w:spacing w:line="580" w:lineRule="exact"/>
        <w:ind w:firstLine="640"/>
        <w:jc w:val="both"/>
        <w:rPr>
          <w:w w:val="95"/>
          <w:sz w:val="32"/>
        </w:rPr>
      </w:pPr>
      <w:r>
        <w:rPr>
          <w:rFonts w:ascii="仿宋_GB2312" w:hAnsi="仿宋_GB2312" w:eastAsia="仿宋_GB2312"/>
          <w:w w:val="95"/>
          <w:sz w:val="32"/>
        </w:rPr>
        <w:t>(2)依据《城市道路管理条例》，实施城市市改工程设施的监督。</w:t>
      </w:r>
    </w:p>
    <w:p>
      <w:pPr>
        <w:spacing w:line="580" w:lineRule="exact"/>
        <w:ind w:firstLine="640"/>
        <w:jc w:val="both"/>
      </w:pPr>
      <w:r>
        <w:rPr>
          <w:rFonts w:ascii="仿宋_GB2312" w:hAnsi="仿宋_GB2312" w:eastAsia="仿宋_GB2312"/>
          <w:sz w:val="32"/>
        </w:rPr>
        <w:t>(3)依据《城市供水条例》，实施城市公用设施的监督。</w:t>
      </w:r>
    </w:p>
    <w:p>
      <w:pPr>
        <w:spacing w:line="580" w:lineRule="exact"/>
        <w:ind w:firstLine="640"/>
        <w:jc w:val="both"/>
      </w:pPr>
      <w:r>
        <w:rPr>
          <w:rFonts w:ascii="仿宋_GB2312" w:hAnsi="仿宋_GB2312" w:eastAsia="仿宋_GB2312"/>
          <w:sz w:val="32"/>
        </w:rPr>
        <w:t>(4)依据《城市市容</w:t>
      </w:r>
      <w:r>
        <w:rPr>
          <w:rFonts w:hint="eastAsia" w:ascii="仿宋_GB2312" w:hAnsi="仿宋_GB2312" w:eastAsia="仿宋_GB2312"/>
          <w:sz w:val="32"/>
          <w:lang w:eastAsia="zh-CN"/>
        </w:rPr>
        <w:t>和</w:t>
      </w:r>
      <w:bookmarkStart w:id="0" w:name="_GoBack"/>
      <w:bookmarkEnd w:id="0"/>
      <w:r>
        <w:rPr>
          <w:rFonts w:ascii="仿宋_GB2312" w:hAnsi="仿宋_GB2312" w:eastAsia="仿宋_GB2312"/>
          <w:sz w:val="32"/>
        </w:rPr>
        <w:t>环境卫生管理条例》，实施城市市容环境的监督。</w:t>
      </w:r>
    </w:p>
    <w:p>
      <w:pPr>
        <w:spacing w:line="580" w:lineRule="exact"/>
        <w:ind w:firstLine="640"/>
        <w:jc w:val="both"/>
      </w:pPr>
      <w:r>
        <w:rPr>
          <w:rFonts w:ascii="仿宋_GB2312" w:hAnsi="仿宋_GB2312" w:eastAsia="仿宋_GB2312"/>
          <w:sz w:val="32"/>
        </w:rPr>
        <w:t>(5)依据《城市绿化条例》，实施城市园林绿化的监督。</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裕民县城管监察大队2024年度，实有人数21人，其中：在职人员15人，减少1人；离休人员0人，增加0人；退休人员6人,增加2人。</w:t>
      </w:r>
    </w:p>
    <w:p>
      <w:pPr>
        <w:spacing w:line="580" w:lineRule="exact"/>
        <w:ind w:firstLine="640"/>
        <w:jc w:val="both"/>
      </w:pPr>
      <w:r>
        <w:rPr>
          <w:rFonts w:ascii="仿宋_GB2312" w:hAnsi="仿宋_GB2312" w:eastAsia="仿宋_GB2312"/>
          <w:sz w:val="32"/>
        </w:rPr>
        <w:t>裕民县城管监察大队无下属预算单位，下设2个科室，分别是：办公室、档案室。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2024年度收入总计295.37万元，</w:t>
      </w:r>
      <w:r>
        <w:rPr>
          <w:rFonts w:ascii="仿宋_GB2312" w:hAnsi="仿宋_GB2312" w:eastAsia="仿宋_GB2312"/>
          <w:b w:val="0"/>
          <w:sz w:val="32"/>
        </w:rPr>
        <w:t>其中：本年收入合计295.37万元，使用非财政拨款结余（含专用结余）0.00万元，年初结转和结余0.00万元。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2024年度支出总计295.37万元，</w:t>
      </w:r>
      <w:r>
        <w:rPr>
          <w:rFonts w:ascii="仿宋_GB2312" w:hAnsi="仿宋_GB2312" w:eastAsia="仿宋_GB2312"/>
          <w:b w:val="0"/>
          <w:sz w:val="32"/>
        </w:rPr>
        <w:t>其中：本年支出合计295.37万元，结余分配0.00万元，年末结转和结余0.00万元。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收入支出总体与上年相比，增加0.26万元，增长0.09%，主要原因是：2024年新录公务员一人，人员工资调增，人员经费增加。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本年收入295.37万元，</w:t>
      </w:r>
      <w:r>
        <w:rPr>
          <w:rFonts w:ascii="仿宋_GB2312" w:hAnsi="仿宋_GB2312" w:eastAsia="仿宋_GB2312"/>
          <w:b w:val="0"/>
          <w:sz w:val="32"/>
        </w:rPr>
        <w:t>其中：财政拨款收入295.37万元，占100.00%；上级补助收入0.00万元，占0.00%；事业收入0.00万元，占0.00%；经营收入0.00万元，占0.00%；附属单位上缴收入0.00万元，占0.00%；其他收入0.00万元，占0.00%。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本年支出295.37万元，</w:t>
      </w:r>
      <w:r>
        <w:rPr>
          <w:rFonts w:ascii="仿宋_GB2312" w:hAnsi="仿宋_GB2312" w:eastAsia="仿宋_GB2312"/>
          <w:b w:val="0"/>
          <w:sz w:val="32"/>
        </w:rPr>
        <w:t>其中：基本支出295.37万元，占100.00%；项目支出0.00万元，占0.00%；上缴上级支出0.00万元，占0.00%；经营支出0.00万元，占0.00%；对附属单位补助支出0.00万元，占0.00%。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2024年度财政拨款收入总计295.37万元，</w:t>
      </w:r>
      <w:r>
        <w:rPr>
          <w:rFonts w:ascii="仿宋_GB2312" w:hAnsi="仿宋_GB2312" w:eastAsia="仿宋_GB2312"/>
          <w:b w:val="0"/>
          <w:sz w:val="32"/>
        </w:rPr>
        <w:t>其中：年初财政拨款结转和结余0.00万元，本年财政拨款收入295.37万元。</w:t>
      </w:r>
      <w:r>
        <w:rPr>
          <w:rFonts w:ascii="仿宋_GB2312" w:hAnsi="仿宋_GB2312" w:eastAsia="仿宋_GB2312"/>
          <w:b/>
          <w:sz w:val="32"/>
        </w:rPr>
        <w:t>财政拨款支出总计295.37万元，</w:t>
      </w:r>
      <w:r>
        <w:rPr>
          <w:rFonts w:ascii="仿宋_GB2312" w:hAnsi="仿宋_GB2312" w:eastAsia="仿宋_GB2312"/>
          <w:b w:val="0"/>
          <w:sz w:val="32"/>
        </w:rPr>
        <w:t>其中：年末财政拨款结转和结余0.00万元，本年财政拨款支出295.37万元。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增加0.29万元，增长0.10%，主要原因是：2024年新录公务员一人，人员工资调增，人员经费增加。</w:t>
      </w:r>
      <w:r>
        <w:rPr>
          <w:rFonts w:ascii="仿宋_GB2312" w:hAnsi="仿宋_GB2312" w:eastAsia="仿宋_GB2312"/>
          <w:b/>
          <w:sz w:val="32"/>
        </w:rPr>
        <w:t>与年初预算相比，</w:t>
      </w:r>
      <w:r>
        <w:rPr>
          <w:rFonts w:ascii="仿宋_GB2312" w:hAnsi="仿宋_GB2312" w:eastAsia="仿宋_GB2312"/>
          <w:b w:val="0"/>
          <w:sz w:val="32"/>
        </w:rPr>
        <w:t>年初预算数303.30万元，决算数295.37万元，预决算差异率-2.61%，主要原因是：年中退休两人，调减人员经费。</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2024年度一般公共预算财政拨款支出295.37万元，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增加0.29万元，增长0.10%，主要原因是：2024年新录公务员一人，人员工资调增，人员经费增加。</w:t>
      </w:r>
      <w:r>
        <w:rPr>
          <w:rFonts w:ascii="仿宋_GB2312" w:hAnsi="仿宋_GB2312" w:eastAsia="仿宋_GB2312"/>
          <w:b/>
          <w:sz w:val="32"/>
        </w:rPr>
        <w:t>与年初预算相比,</w:t>
      </w:r>
      <w:r>
        <w:rPr>
          <w:rFonts w:ascii="仿宋_GB2312" w:hAnsi="仿宋_GB2312" w:eastAsia="仿宋_GB2312"/>
          <w:b w:val="0"/>
          <w:sz w:val="32"/>
        </w:rPr>
        <w:t>年初预算数303.30万元，决算数295.37万元，预决算差异率-2.61%，主要原因是：年中退休两人，调减人员经费。</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1.社会保障和就业支出(类)42.52万元,占14.40%。</w:t>
      </w:r>
    </w:p>
    <w:p>
      <w:pPr>
        <w:spacing w:line="580" w:lineRule="exact"/>
        <w:ind w:firstLine="640"/>
        <w:jc w:val="both"/>
      </w:pPr>
      <w:r>
        <w:rPr>
          <w:rFonts w:ascii="仿宋_GB2312" w:hAnsi="仿宋_GB2312" w:eastAsia="仿宋_GB2312"/>
          <w:b w:val="0"/>
          <w:sz w:val="32"/>
        </w:rPr>
        <w:t>2.卫生健康支出(类)14.42万元,占4.88%。</w:t>
      </w:r>
    </w:p>
    <w:p>
      <w:pPr>
        <w:spacing w:line="580" w:lineRule="exact"/>
        <w:ind w:firstLine="640"/>
        <w:jc w:val="both"/>
      </w:pPr>
      <w:r>
        <w:rPr>
          <w:rFonts w:ascii="仿宋_GB2312" w:hAnsi="仿宋_GB2312" w:eastAsia="仿宋_GB2312"/>
          <w:b w:val="0"/>
          <w:sz w:val="32"/>
        </w:rPr>
        <w:t>3.城乡社区支出(类)219.13万元,占74.19%。</w:t>
      </w:r>
    </w:p>
    <w:p>
      <w:pPr>
        <w:spacing w:line="580" w:lineRule="exact"/>
        <w:ind w:firstLine="640"/>
        <w:jc w:val="both"/>
      </w:pPr>
      <w:r>
        <w:rPr>
          <w:rFonts w:ascii="仿宋_GB2312" w:hAnsi="仿宋_GB2312" w:eastAsia="仿宋_GB2312"/>
          <w:b w:val="0"/>
          <w:sz w:val="32"/>
        </w:rPr>
        <w:t>4.住房保障支出(类)19.29万元,占6.53%。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3.47万元，比上年决算减少19.41万元，下降84.83%,主要原因是：2023年有退休人员死亡一人，发放抚恤金，本年无此经费支出，导致经费减少。</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24.18万元，比上年决算增加1.63万元，增长7.23%,主要原因是：2024年新录公务员一人，机关事业单位养老保险缴费基数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3.社会保障和就业支出(类)行政事业单位养老支出(款)机关事业单位职业年金缴费支出(项):支出决算数为14.87万元，比上年决算增加8.06万元，增长118.36%,主要原因是：本年新增退休人员，职业年金缴费支出增加。</w:t>
      </w:r>
    </w:p>
    <w:p>
      <w:pPr>
        <w:spacing w:line="580" w:lineRule="exact"/>
        <w:ind w:firstLine="640"/>
        <w:jc w:val="both"/>
      </w:pPr>
      <w:r>
        <w:rPr>
          <w:rFonts w:ascii="仿宋_GB2312" w:hAnsi="仿宋_GB2312" w:eastAsia="仿宋_GB2312"/>
          <w:b w:val="0"/>
          <w:sz w:val="32"/>
        </w:rPr>
        <w:t>4.卫生健康支出(类)行政事业单位医疗(款)行政单位医疗(项):支出决算数为10.79万元，比上年决算增加0.76万元，增长7.58%,主要原因是：2024年新录公务员一人，行政事业单位医疗保险缴费增加。</w:t>
      </w:r>
    </w:p>
    <w:p>
      <w:pPr>
        <w:spacing w:line="580" w:lineRule="exact"/>
        <w:ind w:firstLine="640"/>
        <w:jc w:val="both"/>
      </w:pPr>
      <w:r>
        <w:rPr>
          <w:rFonts w:ascii="仿宋_GB2312" w:hAnsi="仿宋_GB2312" w:eastAsia="仿宋_GB2312"/>
          <w:b w:val="0"/>
          <w:sz w:val="32"/>
        </w:rPr>
        <w:t>5.卫生健康支出(类)行政事业单位医疗(款)公务员医疗补助(项):支出决算数为3.64万元，比上年决算增加0.20万元，增长5.81%,主要原因是：2024年新录公务员一人，公务员医疗保险缴费增加。</w:t>
      </w:r>
    </w:p>
    <w:p>
      <w:pPr>
        <w:spacing w:line="580" w:lineRule="exact"/>
        <w:ind w:firstLine="640"/>
        <w:jc w:val="both"/>
      </w:pPr>
      <w:r>
        <w:rPr>
          <w:rFonts w:ascii="仿宋_GB2312" w:hAnsi="仿宋_GB2312" w:eastAsia="仿宋_GB2312"/>
          <w:b w:val="0"/>
          <w:sz w:val="32"/>
        </w:rPr>
        <w:t>6.城乡社区支出(类)城乡社区管理事务(款)城管执法(项):支出决算数为219.13万元，比上年决算增加7.16万元，增长3.38%,主要原因是：2024年新录公务员一人，人员工资调增，人员经费增加。</w:t>
      </w:r>
    </w:p>
    <w:p>
      <w:pPr>
        <w:spacing w:line="580" w:lineRule="exact"/>
        <w:ind w:firstLine="640"/>
        <w:jc w:val="both"/>
      </w:pPr>
      <w:r>
        <w:rPr>
          <w:rFonts w:ascii="仿宋_GB2312" w:hAnsi="仿宋_GB2312" w:eastAsia="仿宋_GB2312"/>
          <w:b w:val="0"/>
          <w:sz w:val="32"/>
        </w:rPr>
        <w:t>7.住房保障支出(类)住房改革支出(款)住房公积金(项):支出决算数为19.29万元，比上年决算增加1.90万元，增长10.93%,主要原因是：2024年新录公务员一人，住房公积金缴费增加。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2024年度一般公共预算财政拨款基本支出295.37万元，其中：</w:t>
      </w:r>
      <w:r>
        <w:rPr>
          <w:rFonts w:ascii="仿宋_GB2312" w:hAnsi="仿宋_GB2312" w:eastAsia="仿宋_GB2312"/>
          <w:b/>
          <w:sz w:val="32"/>
        </w:rPr>
        <w:t>人员经费284.94万元，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包括：基本工资、津贴补贴、奖金、机关事业单位基本养老保险缴费、职业年金缴费、职工基本医疗保险缴费、公务员医疗补助缴费、其他社会保障缴费、住房公积金、其他工资福利支出、退休费、医疗费补助。</w:t>
      </w:r>
    </w:p>
    <w:p>
      <w:pPr>
        <w:spacing w:line="580" w:lineRule="exact"/>
        <w:ind w:firstLine="640"/>
        <w:jc w:val="both"/>
      </w:pPr>
      <w:r>
        <w:rPr>
          <w:rFonts w:ascii="仿宋_GB2312" w:hAnsi="仿宋_GB2312" w:eastAsia="仿宋_GB2312"/>
          <w:b/>
          <w:sz w:val="32"/>
        </w:rPr>
        <w:t>公用经费10.43万元，</w:t>
      </w:r>
      <w:r>
        <w:rPr>
          <w:rFonts w:ascii="仿宋_GB2312" w:hAnsi="仿宋_GB2312" w:eastAsia="仿宋_GB2312"/>
          <w:b w:val="0"/>
          <w:sz w:val="32"/>
        </w:rPr>
        <w:t>包括：办公费、邮电费、取暖费、差旅费、工会经费、其他交通费用、其他商品和服务支出。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差异车辆为一般业务用车，预算未安排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城管监察大队（行政单位和参照公务员法管理事业单位）机关运行经费支出10.43万元，比上年增加2.87万元，增长37.96%，主要原因是：本年增加其他交通费，其他商品和服务支出，导致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2024年度政府采购支出总额0.14万元，其中：政府采购货物支出0.00万元、政府采购工程支出0.00万元、政府采购服务支出0.14万元。</w:t>
      </w:r>
    </w:p>
    <w:p>
      <w:pPr>
        <w:spacing w:line="580" w:lineRule="exact"/>
        <w:ind w:firstLine="640"/>
        <w:jc w:val="both"/>
      </w:pPr>
      <w:r>
        <w:rPr>
          <w:rFonts w:ascii="仿宋_GB2312" w:hAnsi="仿宋_GB2312" w:eastAsia="仿宋_GB2312"/>
          <w:b w:val="0"/>
          <w:sz w:val="32"/>
        </w:rPr>
        <w:t>授予中小企业合同金额0.14万元，占政府采购支出总额的100.00%，其中：授予小微企业合同金额0.14万元，占政府采购支出总额的100.00%。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2辆，价值20.00万元，其中：副部（省）级及以上领导用车0辆、主要负责人用车0辆、机要通信用车0辆、应急保障用车0辆、执法执勤用车2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295.37万元，实际执行总额295.37万元；预算绩效评价项目0个，全年预算数0.00万元，全年执行数0.00万元。预算绩效管理取得的成效：本单位无预算绩效项目自评表。发现的问题及原因：本单位无预算绩效项目自评表。下一步改进措施：本单位无预算绩效项目自评表。具体附整体支出绩效自评表。</w:t>
      </w:r>
    </w:p>
    <w:p>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裕民县城管监察大队</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303.30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295.37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295.37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303.30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295.37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295.37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一是保障了单位16人的工资、社保、公积金及生活补助等支出的正常发放，促进裕民县城管监察大队工作的发展，提升塔城地区裕民县基层治理能力和为民服务能力；</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二是公用经费正常支出，保障了105平方米办公用房的冬季供暖，提高了本单位运转效能。</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三是实施城市内各项相关职责的监督</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2024年度裕民县城管监察大队全年履职尽责，严格贯彻严格贯彻实施《城市市容和环境生管理条例》，完成设立新牌匾数量 27个、整治占道数量300起、备案餐饮店数量53家、清除乱贴小广告数量1000张、清除办证号码数量300条、清除招租广告数量200余条。加强城市管理工作，完善城市管理长效机制，把整治市容市貌、规范城区经营秩序，强化城区道路管理作为提升城市形象工作。保障本单位所有在职人员工资足额按时发放到位，单位车辆、通讯等正常运转基本开支得到保障。</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审批门头牌匾数量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开出车辆通行证数量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备案餐饮店数量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出动执法人次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200余次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200余次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清理“僵尸车”数量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排查路面光缆数量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163条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163条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设立小家菜摊点数量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设立鸡苗摊点数量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AB16508"/>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84693F"/>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1</TotalTime>
  <ScaleCrop>false</ScaleCrop>
  <LinksUpToDate>false</LinksUpToDate>
  <CharactersWithSpaces>547</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2025-10-13T04:09:59Z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