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裕民县国有土地上房屋征收与补偿服务中心2024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rPr>
          <w:w w:val="96"/>
          <w:sz w:val="32"/>
        </w:rPr>
      </w:pPr>
      <w:r>
        <w:rPr>
          <w:rFonts w:ascii="仿宋_GB2312" w:hAnsi="仿宋_GB2312" w:eastAsia="仿宋_GB2312"/>
          <w:w w:val="96"/>
          <w:sz w:val="32"/>
        </w:rPr>
        <w:t>1、负责贯彻执行国家、自治区有关房屋征收与补偿的法律、法规、规章与政策，并组织实施本行政区域内房屋征收与补偿工作。</w:t>
      </w:r>
    </w:p>
    <w:p>
      <w:pPr>
        <w:spacing w:line="580" w:lineRule="exact"/>
        <w:ind w:firstLine="640"/>
        <w:jc w:val="both"/>
      </w:pPr>
      <w:r>
        <w:rPr>
          <w:rFonts w:ascii="仿宋_GB2312" w:hAnsi="仿宋_GB2312" w:eastAsia="仿宋_GB2312"/>
          <w:sz w:val="32"/>
        </w:rPr>
        <w:t>2、负责因公共利益需要对房屋实施征收，并对其行为后果承担法律责任。</w:t>
      </w:r>
    </w:p>
    <w:p>
      <w:pPr>
        <w:spacing w:line="580" w:lineRule="exact"/>
        <w:ind w:firstLine="640"/>
        <w:jc w:val="both"/>
      </w:pPr>
      <w:r>
        <w:rPr>
          <w:rFonts w:ascii="仿宋_GB2312" w:hAnsi="仿宋_GB2312" w:eastAsia="仿宋_GB2312"/>
          <w:sz w:val="32"/>
        </w:rPr>
        <w:t>3、负责受理违反《国有土地上房屋征收与补偿条例》规定的行为，并及时组织核查、处理。、。</w:t>
      </w:r>
    </w:p>
    <w:p>
      <w:pPr>
        <w:spacing w:line="580" w:lineRule="exact"/>
        <w:ind w:firstLine="640"/>
        <w:jc w:val="both"/>
      </w:pPr>
      <w:r>
        <w:rPr>
          <w:rFonts w:ascii="仿宋_GB2312" w:hAnsi="仿宋_GB2312" w:eastAsia="仿宋_GB2312"/>
          <w:sz w:val="32"/>
        </w:rPr>
        <w:t>4、负责拟订征收补偿方案、房屋征收决定与补偿决定，报请县政府论证、公布或者作出决定。</w:t>
      </w:r>
    </w:p>
    <w:p>
      <w:pPr>
        <w:spacing w:line="580" w:lineRule="exact"/>
        <w:ind w:firstLine="640"/>
        <w:jc w:val="both"/>
      </w:pPr>
      <w:r>
        <w:rPr>
          <w:rFonts w:ascii="仿宋_GB2312" w:hAnsi="仿宋_GB2312" w:eastAsia="仿宋_GB2312"/>
          <w:sz w:val="32"/>
        </w:rPr>
        <w:t>5、负责征收补偿安置资金的监管、核发、统计分析和汇总。</w:t>
      </w:r>
    </w:p>
    <w:p>
      <w:pPr>
        <w:spacing w:line="580" w:lineRule="exact"/>
        <w:ind w:firstLine="640"/>
        <w:jc w:val="both"/>
      </w:pPr>
      <w:r>
        <w:rPr>
          <w:rFonts w:ascii="仿宋_GB2312" w:hAnsi="仿宋_GB2312" w:eastAsia="仿宋_GB2312"/>
          <w:sz w:val="32"/>
        </w:rPr>
        <w:t>6、负责对房屋征收范围内的权属、区位、用途、建筑面积等情况进行调查登记，并在房屋征收范围内向被征收人公布调查结果。</w:t>
      </w:r>
    </w:p>
    <w:p>
      <w:pPr>
        <w:spacing w:line="580" w:lineRule="exact"/>
        <w:ind w:firstLine="640"/>
        <w:jc w:val="both"/>
      </w:pPr>
      <w:r>
        <w:rPr>
          <w:rFonts w:ascii="仿宋_GB2312" w:hAnsi="仿宋_GB2312" w:eastAsia="仿宋_GB2312"/>
          <w:sz w:val="32"/>
        </w:rPr>
        <w:t>7、负责组织被征收人协商确定房地产评估机构，配合评估机构对被征收房屋的测绘、评估工作及评估结果的审核工作。</w:t>
      </w:r>
    </w:p>
    <w:p>
      <w:pPr>
        <w:spacing w:line="580" w:lineRule="exact"/>
        <w:ind w:firstLine="640"/>
        <w:jc w:val="both"/>
      </w:pPr>
      <w:r>
        <w:rPr>
          <w:rFonts w:ascii="仿宋_GB2312" w:hAnsi="仿宋_GB2312" w:eastAsia="仿宋_GB2312"/>
          <w:sz w:val="32"/>
        </w:rPr>
        <w:t>8、负责房屋征收的补偿方案的草拟，报县政府审查、论证、并发布。</w:t>
      </w:r>
    </w:p>
    <w:p>
      <w:pPr>
        <w:spacing w:line="580" w:lineRule="exact"/>
        <w:ind w:firstLine="640"/>
        <w:jc w:val="both"/>
      </w:pPr>
      <w:r>
        <w:rPr>
          <w:rFonts w:ascii="仿宋_GB2312" w:hAnsi="仿宋_GB2312" w:eastAsia="仿宋_GB2312"/>
          <w:sz w:val="32"/>
        </w:rPr>
        <w:t>9、负责协助相关部门依法进行调查认定处理、协助政法部门进行房屋征收社会风险评估工作。</w:t>
      </w:r>
    </w:p>
    <w:p>
      <w:pPr>
        <w:spacing w:line="580" w:lineRule="exact"/>
        <w:ind w:firstLine="640"/>
        <w:jc w:val="both"/>
      </w:pPr>
      <w:r>
        <w:rPr>
          <w:rFonts w:ascii="仿宋_GB2312" w:hAnsi="仿宋_GB2312" w:eastAsia="仿宋_GB2312"/>
          <w:sz w:val="32"/>
        </w:rPr>
        <w:t>10、负责书面通知有关部门暂停办理征收范围内房屋的新建、扩建、改建和改变房屋用途等相关手续。</w:t>
      </w:r>
    </w:p>
    <w:p>
      <w:pPr>
        <w:spacing w:line="580" w:lineRule="exact"/>
        <w:ind w:firstLine="640"/>
        <w:jc w:val="both"/>
      </w:pPr>
      <w:r>
        <w:rPr>
          <w:rFonts w:ascii="仿宋_GB2312" w:hAnsi="仿宋_GB2312" w:eastAsia="仿宋_GB2312"/>
          <w:sz w:val="32"/>
        </w:rPr>
        <w:t>11、负责与被征收人依照规定，就补偿方式、补偿金额、支付期限、产权调换、搬迁费、临时安置费、停产停业损失等事项，订立补偿协议。</w:t>
      </w:r>
    </w:p>
    <w:p>
      <w:pPr>
        <w:spacing w:line="580" w:lineRule="exact"/>
        <w:ind w:firstLine="640"/>
        <w:jc w:val="both"/>
      </w:pPr>
      <w:r>
        <w:rPr>
          <w:rFonts w:ascii="仿宋_GB2312" w:hAnsi="仿宋_GB2312" w:eastAsia="仿宋_GB2312"/>
          <w:sz w:val="32"/>
        </w:rPr>
        <w:t>12、负责协调安置地点、安置房户型、价格、楼层系数、征收范围普遍商品房价格的数据调取工作。</w:t>
      </w:r>
    </w:p>
    <w:p>
      <w:pPr>
        <w:spacing w:line="580" w:lineRule="exact"/>
        <w:ind w:firstLine="640"/>
        <w:jc w:val="both"/>
      </w:pPr>
      <w:r>
        <w:rPr>
          <w:rFonts w:ascii="仿宋_GB2312" w:hAnsi="仿宋_GB2312" w:eastAsia="仿宋_GB2312"/>
          <w:sz w:val="32"/>
        </w:rPr>
        <w:t>13、负责与被征收人洽谈，在规定时间内签订房屋征收与补偿安置协议。</w:t>
      </w:r>
    </w:p>
    <w:p>
      <w:pPr>
        <w:spacing w:line="580" w:lineRule="exact"/>
        <w:ind w:firstLine="640"/>
        <w:jc w:val="both"/>
      </w:pPr>
      <w:r>
        <w:rPr>
          <w:rFonts w:ascii="仿宋_GB2312" w:hAnsi="仿宋_GB2312" w:eastAsia="仿宋_GB2312"/>
          <w:sz w:val="32"/>
        </w:rPr>
        <w:t>14、负责与被征收人在征收补偿方案确定的签约期限内达不成补偿协议或者被征收房屋所有权人不明确，报县人民政府作出补偿决定。</w:t>
      </w:r>
    </w:p>
    <w:p>
      <w:pPr>
        <w:spacing w:line="580" w:lineRule="exact"/>
        <w:ind w:firstLine="640"/>
        <w:jc w:val="both"/>
      </w:pPr>
      <w:r>
        <w:rPr>
          <w:rFonts w:ascii="仿宋_GB2312" w:hAnsi="仿宋_GB2312" w:eastAsia="仿宋_GB2312"/>
          <w:sz w:val="32"/>
        </w:rPr>
        <w:t>15、负责房屋征收行政复议应诉工作；依法拟定征收补偿决定报县人民政府批准，并申请法院依法强制执行。</w:t>
      </w:r>
    </w:p>
    <w:p>
      <w:pPr>
        <w:spacing w:line="580" w:lineRule="exact"/>
        <w:ind w:firstLine="640"/>
        <w:jc w:val="both"/>
        <w:rPr>
          <w:w w:val="96"/>
          <w:sz w:val="32"/>
        </w:rPr>
      </w:pPr>
      <w:r>
        <w:rPr>
          <w:rFonts w:ascii="仿宋_GB2312" w:hAnsi="仿宋_GB2312" w:eastAsia="仿宋_GB2312"/>
          <w:w w:val="96"/>
          <w:sz w:val="32"/>
        </w:rPr>
        <w:t>16、负责对被征收户房屋的拆除工作及被征收户回迁安置工作。</w:t>
      </w:r>
    </w:p>
    <w:p>
      <w:pPr>
        <w:spacing w:line="580" w:lineRule="exact"/>
        <w:ind w:firstLine="640"/>
        <w:jc w:val="both"/>
      </w:pPr>
      <w:r>
        <w:rPr>
          <w:rFonts w:ascii="仿宋_GB2312" w:hAnsi="仿宋_GB2312" w:eastAsia="仿宋_GB2312"/>
          <w:sz w:val="32"/>
        </w:rPr>
        <w:t>17、负责房屋征收从业人员的培训、监管工作。</w:t>
      </w:r>
    </w:p>
    <w:p>
      <w:pPr>
        <w:spacing w:line="580" w:lineRule="exact"/>
        <w:ind w:firstLine="640"/>
        <w:jc w:val="both"/>
      </w:pPr>
      <w:r>
        <w:rPr>
          <w:rFonts w:ascii="仿宋_GB2312" w:hAnsi="仿宋_GB2312" w:eastAsia="仿宋_GB2312"/>
          <w:sz w:val="32"/>
        </w:rPr>
        <w:t>18、负责房屋征收补偿安置矛盾纠纷的调解，以及房屋征收补偿过程中的信访与政策咨询工作。</w:t>
      </w:r>
    </w:p>
    <w:p>
      <w:pPr>
        <w:spacing w:line="580" w:lineRule="exact"/>
        <w:ind w:firstLine="640"/>
        <w:jc w:val="both"/>
      </w:pPr>
      <w:r>
        <w:rPr>
          <w:rFonts w:ascii="仿宋_GB2312" w:hAnsi="仿宋_GB2312" w:eastAsia="仿宋_GB2312"/>
          <w:sz w:val="32"/>
        </w:rPr>
        <w:t>19、负责房屋征收与补偿结果的公示及房屋征收与补偿信息、统计、档案管理工作。</w:t>
      </w:r>
    </w:p>
    <w:p>
      <w:pPr>
        <w:spacing w:line="580" w:lineRule="exact"/>
        <w:ind w:firstLine="640"/>
        <w:jc w:val="both"/>
      </w:pPr>
      <w:r>
        <w:rPr>
          <w:rFonts w:ascii="仿宋_GB2312" w:hAnsi="仿宋_GB2312" w:eastAsia="仿宋_GB2312"/>
          <w:sz w:val="32"/>
        </w:rPr>
        <w:t>20、其他与房屋征收与补偿相关的工作职责。</w:t>
      </w:r>
    </w:p>
    <w:p>
      <w:pPr>
        <w:spacing w:line="580" w:lineRule="exact"/>
        <w:ind w:firstLine="640"/>
        <w:jc w:val="both"/>
      </w:pPr>
      <w:r>
        <w:rPr>
          <w:rFonts w:ascii="仿宋_GB2312" w:hAnsi="仿宋_GB2312" w:eastAsia="仿宋_GB2312"/>
          <w:sz w:val="32"/>
        </w:rPr>
        <w:t>21、完成上级交办的其他工作。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裕民县国有土地上房屋征收与补偿服务中心2024年度，实有人数6人，其中：在职人员6人，增加1人；离休人员0人，增加0人；退休人员0人,增加0人。</w:t>
      </w:r>
    </w:p>
    <w:p>
      <w:pPr>
        <w:spacing w:line="580" w:lineRule="exact"/>
        <w:ind w:firstLine="640"/>
        <w:jc w:val="both"/>
      </w:pPr>
      <w:r>
        <w:rPr>
          <w:rFonts w:ascii="仿宋_GB2312" w:hAnsi="仿宋_GB2312" w:eastAsia="仿宋_GB2312"/>
          <w:sz w:val="32"/>
        </w:rPr>
        <w:t>裕民县国有土地上房屋征收与补偿服务中心无下属预算单位，下设1个科室，分别是：本单位无下设科室。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2024年度收入总计98.55万元，</w:t>
      </w:r>
      <w:r>
        <w:rPr>
          <w:rFonts w:ascii="仿宋_GB2312" w:hAnsi="仿宋_GB2312" w:eastAsia="仿宋_GB2312"/>
          <w:b w:val="0"/>
          <w:sz w:val="32"/>
        </w:rPr>
        <w:t>其中：本年收入合计98.55万元，使用非财政拨款结余（含专用结余）0.00万元，年初结转和结余0.00万元。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2024年度支出总计98.55万元，</w:t>
      </w:r>
      <w:r>
        <w:rPr>
          <w:rFonts w:ascii="仿宋_GB2312" w:hAnsi="仿宋_GB2312" w:eastAsia="仿宋_GB2312"/>
          <w:b w:val="0"/>
          <w:sz w:val="32"/>
        </w:rPr>
        <w:t>其中：本年支出合计98.55万元，结余分配0.00万元，年末结转和结余0.00万元。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收入支出总体与上年相比，减少8.49万元，下降7.93%，主要原因是：2023年1-10月本单位在职职工是7人，</w:t>
      </w:r>
      <w:r>
        <w:rPr>
          <w:rFonts w:hint="eastAsia" w:ascii="仿宋_GB2312" w:hAnsi="仿宋_GB2312" w:eastAsia="仿宋_GB2312"/>
          <w:b w:val="0"/>
          <w:sz w:val="32"/>
          <w:lang w:eastAsia="zh-CN"/>
        </w:rPr>
        <w:t>年底</w:t>
      </w:r>
      <w:r>
        <w:rPr>
          <w:rFonts w:ascii="仿宋_GB2312" w:hAnsi="仿宋_GB2312" w:eastAsia="仿宋_GB2312"/>
          <w:b w:val="0"/>
          <w:sz w:val="32"/>
        </w:rPr>
        <w:t>调出</w:t>
      </w:r>
      <w:r>
        <w:rPr>
          <w:rFonts w:hint="eastAsia" w:ascii="仿宋_GB2312" w:hAnsi="仿宋_GB2312" w:eastAsia="仿宋_GB2312"/>
          <w:b w:val="0"/>
          <w:sz w:val="32"/>
          <w:lang w:val="en-US" w:eastAsia="zh-CN"/>
        </w:rPr>
        <w:t>2</w:t>
      </w:r>
      <w:r>
        <w:rPr>
          <w:rFonts w:ascii="仿宋_GB2312" w:hAnsi="仿宋_GB2312" w:eastAsia="仿宋_GB2312"/>
          <w:b w:val="0"/>
          <w:sz w:val="32"/>
        </w:rPr>
        <w:t>人，</w:t>
      </w:r>
      <w:r>
        <w:rPr>
          <w:rFonts w:hint="eastAsia" w:ascii="仿宋_GB2312" w:hAnsi="仿宋_GB2312" w:eastAsia="仿宋_GB2312"/>
          <w:b w:val="0"/>
          <w:sz w:val="32"/>
          <w:lang w:eastAsia="zh-CN"/>
        </w:rPr>
        <w:t>导致</w:t>
      </w:r>
      <w:r>
        <w:rPr>
          <w:rFonts w:ascii="仿宋_GB2312" w:hAnsi="仿宋_GB2312" w:eastAsia="仿宋_GB2312"/>
          <w:b w:val="0"/>
          <w:sz w:val="32"/>
        </w:rPr>
        <w:t>2024年较上年减少人员经费。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本年收入98.55万元，</w:t>
      </w:r>
      <w:r>
        <w:rPr>
          <w:rFonts w:ascii="仿宋_GB2312" w:hAnsi="仿宋_GB2312" w:eastAsia="仿宋_GB2312"/>
          <w:b w:val="0"/>
          <w:sz w:val="32"/>
        </w:rPr>
        <w:t>其中：财政拨款收入98.55万元，占100.00%；上级补助收入0.00万元，占0.00%；事业收入0.00万元，占0.00%；经营收入0.00万元，占0.00%；附属单位上缴收入0.00万元，占0.00%；其他收入0.00万元，占0.00%。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本年支出98.55万元，</w:t>
      </w:r>
      <w:r>
        <w:rPr>
          <w:rFonts w:ascii="仿宋_GB2312" w:hAnsi="仿宋_GB2312" w:eastAsia="仿宋_GB2312"/>
          <w:b w:val="0"/>
          <w:sz w:val="32"/>
        </w:rPr>
        <w:t>其中：基本支出98.45万元，占99.90%；项目支出0.10万元，占0.10%；上缴上级支出0.00万元，占0.00%；经营支出0.00万元，占0.00%；对附属单位补助支出0.00万元，占0.00%。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2024年度财政拨款收入总计98.55万元，</w:t>
      </w:r>
      <w:r>
        <w:rPr>
          <w:rFonts w:ascii="仿宋_GB2312" w:hAnsi="仿宋_GB2312" w:eastAsia="仿宋_GB2312"/>
          <w:b w:val="0"/>
          <w:sz w:val="32"/>
        </w:rPr>
        <w:t>其中：年初财政拨款结转和结余0.00万元，本年财政拨款收入98.55万元。</w:t>
      </w:r>
      <w:r>
        <w:rPr>
          <w:rFonts w:ascii="仿宋_GB2312" w:hAnsi="仿宋_GB2312" w:eastAsia="仿宋_GB2312"/>
          <w:b/>
          <w:sz w:val="32"/>
        </w:rPr>
        <w:t>财政拨款支出总计98.55万元，</w:t>
      </w:r>
      <w:r>
        <w:rPr>
          <w:rFonts w:ascii="仿宋_GB2312" w:hAnsi="仿宋_GB2312" w:eastAsia="仿宋_GB2312"/>
          <w:b w:val="0"/>
          <w:sz w:val="32"/>
        </w:rPr>
        <w:t>其中：年末财政拨款结转和结余0.00万元，本年财政拨款支出98.55万元。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减少8.49万元，下降7.93%，主要原因是：2023年1-10月本单位在职职工是7人，</w:t>
      </w:r>
      <w:r>
        <w:rPr>
          <w:rFonts w:hint="eastAsia" w:ascii="仿宋_GB2312" w:hAnsi="仿宋_GB2312" w:eastAsia="仿宋_GB2312"/>
          <w:b w:val="0"/>
          <w:sz w:val="32"/>
          <w:lang w:eastAsia="zh-CN"/>
        </w:rPr>
        <w:t>年底</w:t>
      </w:r>
      <w:r>
        <w:rPr>
          <w:rFonts w:ascii="仿宋_GB2312" w:hAnsi="仿宋_GB2312" w:eastAsia="仿宋_GB2312"/>
          <w:b w:val="0"/>
          <w:sz w:val="32"/>
        </w:rPr>
        <w:t>调出</w:t>
      </w:r>
      <w:r>
        <w:rPr>
          <w:rFonts w:hint="eastAsia" w:ascii="仿宋_GB2312" w:hAnsi="仿宋_GB2312" w:eastAsia="仿宋_GB2312"/>
          <w:b w:val="0"/>
          <w:sz w:val="32"/>
          <w:lang w:val="en-US" w:eastAsia="zh-CN"/>
        </w:rPr>
        <w:t>2</w:t>
      </w:r>
      <w:r>
        <w:rPr>
          <w:rFonts w:ascii="仿宋_GB2312" w:hAnsi="仿宋_GB2312" w:eastAsia="仿宋_GB2312"/>
          <w:b w:val="0"/>
          <w:sz w:val="32"/>
        </w:rPr>
        <w:t>人，</w:t>
      </w:r>
      <w:r>
        <w:rPr>
          <w:rFonts w:hint="eastAsia" w:ascii="仿宋_GB2312" w:hAnsi="仿宋_GB2312" w:eastAsia="仿宋_GB2312"/>
          <w:b w:val="0"/>
          <w:sz w:val="32"/>
          <w:lang w:eastAsia="zh-CN"/>
        </w:rPr>
        <w:t>导致</w:t>
      </w:r>
      <w:r>
        <w:rPr>
          <w:rFonts w:ascii="仿宋_GB2312" w:hAnsi="仿宋_GB2312" w:eastAsia="仿宋_GB2312"/>
          <w:b w:val="0"/>
          <w:sz w:val="32"/>
        </w:rPr>
        <w:t>2024年较上年减少人员经费。</w:t>
      </w:r>
      <w:r>
        <w:rPr>
          <w:rFonts w:ascii="仿宋_GB2312" w:hAnsi="仿宋_GB2312" w:eastAsia="仿宋_GB2312"/>
          <w:b/>
          <w:sz w:val="32"/>
        </w:rPr>
        <w:t>与年初预算相比，</w:t>
      </w:r>
      <w:r>
        <w:rPr>
          <w:rFonts w:ascii="仿宋_GB2312" w:hAnsi="仿宋_GB2312" w:eastAsia="仿宋_GB2312"/>
          <w:b w:val="0"/>
          <w:sz w:val="32"/>
        </w:rPr>
        <w:t>年初预算数87.60万元，决算数98.55万元，预决算差异率12.50%，主要原因是：年中追加人员工资、社保、公积金基数调增部分资金，导致预决算存在差异。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2024年度一般公共预算财政拨款支出98.55万元，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减少8.49万元，下降7.93%，主要原因是：2023年1-10月本单位在职职工是7人，</w:t>
      </w:r>
      <w:r>
        <w:rPr>
          <w:rFonts w:hint="eastAsia" w:ascii="仿宋_GB2312" w:hAnsi="仿宋_GB2312" w:eastAsia="仿宋_GB2312"/>
          <w:b w:val="0"/>
          <w:sz w:val="32"/>
          <w:lang w:eastAsia="zh-CN"/>
        </w:rPr>
        <w:t>年底</w:t>
      </w:r>
      <w:r>
        <w:rPr>
          <w:rFonts w:ascii="仿宋_GB2312" w:hAnsi="仿宋_GB2312" w:eastAsia="仿宋_GB2312"/>
          <w:b w:val="0"/>
          <w:sz w:val="32"/>
        </w:rPr>
        <w:t>调出</w:t>
      </w:r>
      <w:r>
        <w:rPr>
          <w:rFonts w:hint="eastAsia" w:ascii="仿宋_GB2312" w:hAnsi="仿宋_GB2312" w:eastAsia="仿宋_GB2312"/>
          <w:b w:val="0"/>
          <w:sz w:val="32"/>
          <w:lang w:val="en-US" w:eastAsia="zh-CN"/>
        </w:rPr>
        <w:t>2</w:t>
      </w:r>
      <w:r>
        <w:rPr>
          <w:rFonts w:ascii="仿宋_GB2312" w:hAnsi="仿宋_GB2312" w:eastAsia="仿宋_GB2312"/>
          <w:b w:val="0"/>
          <w:sz w:val="32"/>
        </w:rPr>
        <w:t>人，</w:t>
      </w:r>
      <w:r>
        <w:rPr>
          <w:rFonts w:hint="eastAsia" w:ascii="仿宋_GB2312" w:hAnsi="仿宋_GB2312" w:eastAsia="仿宋_GB2312"/>
          <w:b w:val="0"/>
          <w:sz w:val="32"/>
          <w:lang w:eastAsia="zh-CN"/>
        </w:rPr>
        <w:t>导致</w:t>
      </w:r>
      <w:r>
        <w:rPr>
          <w:rFonts w:ascii="仿宋_GB2312" w:hAnsi="仿宋_GB2312" w:eastAsia="仿宋_GB2312"/>
          <w:b w:val="0"/>
          <w:sz w:val="32"/>
        </w:rPr>
        <w:t>2024年较上年减少人员经费。</w:t>
      </w:r>
      <w:r>
        <w:rPr>
          <w:rFonts w:ascii="仿宋_GB2312" w:hAnsi="仿宋_GB2312" w:eastAsia="仿宋_GB2312"/>
          <w:b/>
          <w:sz w:val="32"/>
        </w:rPr>
        <w:t>与年初预算相比,</w:t>
      </w:r>
      <w:r>
        <w:rPr>
          <w:rFonts w:ascii="仿宋_GB2312" w:hAnsi="仿宋_GB2312" w:eastAsia="仿宋_GB2312"/>
          <w:b w:val="0"/>
          <w:sz w:val="32"/>
        </w:rPr>
        <w:t>年初预算数87.60万元，决算数98.55万元，预决算差异率12.50%，主要原因是：年中追加人员工资、社保、公积金基数调增部分资金，导致预决算存在差异。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1.社会保障和就业支出(类)10.59万元,占10.75%。</w:t>
      </w:r>
    </w:p>
    <w:p>
      <w:pPr>
        <w:spacing w:line="580" w:lineRule="exact"/>
        <w:ind w:firstLine="640"/>
        <w:jc w:val="both"/>
      </w:pPr>
      <w:r>
        <w:rPr>
          <w:rFonts w:ascii="仿宋_GB2312" w:hAnsi="仿宋_GB2312" w:eastAsia="仿宋_GB2312"/>
          <w:b w:val="0"/>
          <w:sz w:val="32"/>
        </w:rPr>
        <w:t>2.卫生健康支出(类)4.38万元,占4.44%。</w:t>
      </w:r>
    </w:p>
    <w:p>
      <w:pPr>
        <w:spacing w:line="580" w:lineRule="exact"/>
        <w:ind w:firstLine="640"/>
        <w:jc w:val="both"/>
      </w:pPr>
      <w:r>
        <w:rPr>
          <w:rFonts w:ascii="仿宋_GB2312" w:hAnsi="仿宋_GB2312" w:eastAsia="仿宋_GB2312"/>
          <w:b w:val="0"/>
          <w:sz w:val="32"/>
        </w:rPr>
        <w:t>3.城乡社区支出(类)75.22万元,占76.33%。</w:t>
      </w:r>
    </w:p>
    <w:p>
      <w:pPr>
        <w:spacing w:line="580" w:lineRule="exact"/>
        <w:ind w:firstLine="640"/>
        <w:jc w:val="both"/>
      </w:pPr>
      <w:r>
        <w:rPr>
          <w:rFonts w:ascii="仿宋_GB2312" w:hAnsi="仿宋_GB2312" w:eastAsia="仿宋_GB2312"/>
          <w:b w:val="0"/>
          <w:sz w:val="32"/>
        </w:rPr>
        <w:t>4.住房保障支出(类)8.35万元,占8.47%。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10.59万元，比上年决算增加0.41万元，增长4.03%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2.卫生健康支出(类)行政事业单位医疗(款)事业单位医疗(项):支出决算数为4.38万元，比上年决算减少0.11万元，下降2.45%,主要原因是：2023年1-10月本单位在职职工是7人，</w:t>
      </w:r>
      <w:r>
        <w:rPr>
          <w:rFonts w:hint="eastAsia" w:ascii="仿宋_GB2312" w:hAnsi="仿宋_GB2312" w:eastAsia="仿宋_GB2312"/>
          <w:b w:val="0"/>
          <w:sz w:val="32"/>
          <w:lang w:eastAsia="zh-CN"/>
        </w:rPr>
        <w:t>年底</w:t>
      </w:r>
      <w:r>
        <w:rPr>
          <w:rFonts w:ascii="仿宋_GB2312" w:hAnsi="仿宋_GB2312" w:eastAsia="仿宋_GB2312"/>
          <w:b w:val="0"/>
          <w:sz w:val="32"/>
        </w:rPr>
        <w:t>调出</w:t>
      </w:r>
      <w:r>
        <w:rPr>
          <w:rFonts w:hint="eastAsia" w:ascii="仿宋_GB2312" w:hAnsi="仿宋_GB2312" w:eastAsia="仿宋_GB2312"/>
          <w:b w:val="0"/>
          <w:sz w:val="32"/>
          <w:lang w:val="en-US" w:eastAsia="zh-CN"/>
        </w:rPr>
        <w:t>2</w:t>
      </w:r>
      <w:r>
        <w:rPr>
          <w:rFonts w:ascii="仿宋_GB2312" w:hAnsi="仿宋_GB2312" w:eastAsia="仿宋_GB2312"/>
          <w:b w:val="0"/>
          <w:sz w:val="32"/>
        </w:rPr>
        <w:t>人，导致事业单位医疗缴费减少。</w:t>
      </w:r>
    </w:p>
    <w:p>
      <w:pPr>
        <w:spacing w:line="580" w:lineRule="exact"/>
        <w:ind w:firstLine="640"/>
        <w:jc w:val="both"/>
        <w:rPr>
          <w:w w:val="96"/>
          <w:sz w:val="32"/>
        </w:rPr>
      </w:pPr>
      <w:r>
        <w:rPr>
          <w:rFonts w:ascii="仿宋_GB2312" w:hAnsi="仿宋_GB2312" w:eastAsia="仿宋_GB2312"/>
          <w:b w:val="0"/>
          <w:w w:val="96"/>
          <w:sz w:val="32"/>
        </w:rPr>
        <w:t>3.城乡社区支出(类)城乡社区规划与管理(款)城乡社区规划与管理(项):支出决算数为75.22万元，比上年决算减少9.34万元，下降11.05%,主要原因是：2023年1-10月本单位在职职工是7人，</w:t>
      </w:r>
      <w:r>
        <w:rPr>
          <w:rFonts w:hint="eastAsia" w:ascii="仿宋_GB2312" w:hAnsi="仿宋_GB2312" w:eastAsia="仿宋_GB2312"/>
          <w:b w:val="0"/>
          <w:w w:val="96"/>
          <w:sz w:val="32"/>
          <w:lang w:eastAsia="zh-CN"/>
        </w:rPr>
        <w:t>年底</w:t>
      </w:r>
      <w:r>
        <w:rPr>
          <w:rFonts w:ascii="仿宋_GB2312" w:hAnsi="仿宋_GB2312" w:eastAsia="仿宋_GB2312"/>
          <w:b w:val="0"/>
          <w:w w:val="96"/>
          <w:sz w:val="32"/>
        </w:rPr>
        <w:t>调出</w:t>
      </w:r>
      <w:r>
        <w:rPr>
          <w:rFonts w:hint="eastAsia" w:ascii="仿宋_GB2312" w:hAnsi="仿宋_GB2312" w:eastAsia="仿宋_GB2312"/>
          <w:b w:val="0"/>
          <w:w w:val="96"/>
          <w:sz w:val="32"/>
          <w:lang w:val="en-US" w:eastAsia="zh-CN"/>
        </w:rPr>
        <w:t>2</w:t>
      </w:r>
      <w:r>
        <w:rPr>
          <w:rFonts w:ascii="仿宋_GB2312" w:hAnsi="仿宋_GB2312" w:eastAsia="仿宋_GB2312"/>
          <w:b w:val="0"/>
          <w:w w:val="96"/>
          <w:sz w:val="32"/>
        </w:rPr>
        <w:t>人，导致2024年较上年减少调出人员经费。</w:t>
      </w:r>
    </w:p>
    <w:p>
      <w:pPr>
        <w:spacing w:line="580" w:lineRule="exact"/>
        <w:ind w:firstLine="640"/>
        <w:jc w:val="both"/>
      </w:pPr>
      <w:r>
        <w:rPr>
          <w:rFonts w:ascii="仿宋_GB2312" w:hAnsi="仿宋_GB2312" w:eastAsia="仿宋_GB2312"/>
          <w:b w:val="0"/>
          <w:sz w:val="32"/>
        </w:rPr>
        <w:t>4.住房保障支出(类)住房改革支出(款)住房公积金(项):支出决算数为8.35万元，比上年决算增加0.54万元，增长6.91%,主要原因是：本年在职人员工资基数调增，公积金缴费基数上涨，相应支出增加。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2024年度一般公共预算财政拨款基本支出98.45万元，其中：</w:t>
      </w:r>
      <w:r>
        <w:rPr>
          <w:rFonts w:ascii="仿宋_GB2312" w:hAnsi="仿宋_GB2312" w:eastAsia="仿宋_GB2312"/>
          <w:b/>
          <w:sz w:val="32"/>
        </w:rPr>
        <w:t>人员经费95.32万元，</w:t>
      </w:r>
      <w:r>
        <w:rPr>
          <w:rFonts w:ascii="仿宋_GB2312" w:hAnsi="仿宋_GB2312" w:eastAsia="仿宋_GB2312"/>
          <w:b w:val="0"/>
          <w:sz w:val="32"/>
        </w:rPr>
        <w:t>包括：基本工资、津贴补贴、奖金、绩效工资、机关事业单位基本养老保险缴费、职工基本医疗保险缴费、其他社会保障缴费、住房公积金。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公用经费3.13万元，</w:t>
      </w:r>
      <w:r>
        <w:rPr>
          <w:rFonts w:ascii="仿宋_GB2312" w:hAnsi="仿宋_GB2312" w:eastAsia="仿宋_GB2312"/>
          <w:b w:val="0"/>
          <w:sz w:val="32"/>
        </w:rPr>
        <w:t>包括：办公费、邮电费、取暖费、培训费、工会经费、公务用车运行维护费、其他商品和服务支出。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2024年度财政拨款“三公”经费支出0.82万元，</w:t>
      </w:r>
      <w:r>
        <w:rPr>
          <w:rFonts w:ascii="仿宋_GB2312" w:hAnsi="仿宋_GB2312" w:eastAsia="仿宋_GB2312"/>
          <w:b w:val="0"/>
          <w:sz w:val="32"/>
        </w:rPr>
        <w:t>比上年增加0.27万元，增长49.09%，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0.82万元，占100.00%，比上年增加0.27万元，增长49.09%，主要原因是：本年因业务需求，用车次数增加，燃油费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0.82万元，其中：公务用车购置费0.00万元，公务用车运行维护费0.82万元。公务用车运行维护费开支内容包括车辆加油费、维修费、保险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0.82万元，决算数0.82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0.82万元，决算数0.82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2024年度裕民县国有土地上房屋征收与补偿服务中心（事业单位）公用经费支出3.13万元，比上年减少2.16万元，下降40.83%，主要原因是：严格控制公用经费，合理节约办公用品，减少不必要开支。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2024年度政府采购支出总额0.88万元，其中：政府采购货物支出0.36万元、政府采购工程支出0.00万元、政府采购服务支出0.52万元。</w:t>
      </w:r>
    </w:p>
    <w:p>
      <w:pPr>
        <w:spacing w:line="580" w:lineRule="exact"/>
        <w:ind w:firstLine="640"/>
        <w:jc w:val="both"/>
      </w:pPr>
      <w:r>
        <w:rPr>
          <w:rFonts w:ascii="仿宋_GB2312" w:hAnsi="仿宋_GB2312" w:eastAsia="仿宋_GB2312"/>
          <w:b w:val="0"/>
          <w:sz w:val="32"/>
        </w:rPr>
        <w:t>授予中小企业合同金额0.30万元，占政府采购支出总额的34.09%，其中：授予小微企业合同金额0.30万元，占政府采购支出总额的34.09%。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6.15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w:t>
      </w:r>
      <w:bookmarkStart w:id="0" w:name="_GoBack"/>
      <w:bookmarkEnd w:id="0"/>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98.55万元，实际执行总额98.55万元；预算绩效评价项目1个，全年预算数0.10万元，全年执行数0.10万元。预算绩效管理取得的成效：一是财政资金使用效益提升，通过设定清晰的绩效目标资金使用更精准高效；二是履职责任更加明确具体，将绩效目标与岗位责任挂钩。发现的问题及原因：一是年初预算与年终决算有差距；二是绩效评价结果应用不足，人员专业能力不足，业务人员不懂财务逻辑，财务人员不了解业务实际。下一步改进措施：一是完善预算绩效管理制度，明确岗位职责，完善人员岗位责任制、财务管理制度以及绩效评价制度等内容，充分实现工作目标，按照绩效制度要求，针对具体的分工、职责划分管理制度进行全面有效的健全和完善，充分有效发挥绩效评价制度的优势和作用。 二是增强预算绩效管理的理念，多管齐下宣讲预算绩效管理相关政策，重视绩效预算管理工作，建立预算管路的氛围文化，领导要带头重视，相关科室协调参与，明确科室责任，增强工作人员和领导的绩效管理意识。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裕民县国有土地上房屋征收与补偿服务中心</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裕民县城市建设总规划，推进城区基础设施建设，推动我县城市化进程，完善城市总体规划和棚户区改造工作，认真做好征补工作。保障本单位所有在职人员工资足额按时发放到位，单位车辆、通讯等正常运转基本开支得到保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裕民县城市建设总规划，推进城区基础设施建设，推动我县城市化进程，完善城市总体规划和老旧房屋置换工作，认真完成房屋置换工作计划。保障了本单位所有在职人员工资足额按时发放到位，单位车辆、通讯等正常运转基本开支得到保障。</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完成置换房屋户数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组织学习《国有土地上房屋征收与补偿条例》次数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房屋征补政策知晓率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征收补偿达标率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征收补偿政策宣传涉及来访群众率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856"/>
        <w:gridCol w:w="616"/>
        <w:gridCol w:w="616"/>
        <w:gridCol w:w="621"/>
        <w:gridCol w:w="616"/>
        <w:gridCol w:w="616"/>
        <w:gridCol w:w="696"/>
        <w:gridCol w:w="626"/>
        <w:gridCol w:w="696"/>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裕征补字[2024]9号老旧房屋置换所需补偿费用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裕民县国有土地上房屋征收与补偿服务中心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裕民县国有土地上房屋征收与补偿服务中心</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在房屋置换工作中1户协议安置楼房面积与实际测绘面积存在误差：安置楼房协议面积是140平方米，实测楼房面积是139.46平方米，每层价格是3658元，经过核算需退还房屋置换户已上缴国库981元，同时申请财政资金发放安置补偿费用994.32元，使涉及的一户房屋置换户居住条件和生活质量得到提高，促进社会和谐。</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申请财政资金发放安置补偿费用994.32元，使涉及的一户房屋置换户居住条件和生活质量得到提高，促进社会和谐，提升了政府信誉度。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实际补偿户数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项目按期完工合格率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房屋置换合格率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&lt;=994.32元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994.32元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保障房屋置换户住房质量条件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6D2A75"/>
    <w:rsid w:val="55DA564E"/>
    <w:rsid w:val="56E07045"/>
    <w:rsid w:val="583059FA"/>
    <w:rsid w:val="587E6212"/>
    <w:rsid w:val="5AFC6609"/>
    <w:rsid w:val="5FA17648"/>
    <w:rsid w:val="5FD320BD"/>
    <w:rsid w:val="60273FE0"/>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1</TotalTime>
  <ScaleCrop>false</ScaleCrop>
  <LinksUpToDate>false</LinksUpToDate>
  <CharactersWithSpaces>547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2025-09-30T05:17:58Z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