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裕民县商务和工业信息化局2024</w:t>
      </w:r>
      <w:r>
        <w:rPr>
          <w:rFonts w:hint="eastAsia" w:ascii="方正小标宋_GBK" w:hAnsi="宋体" w:eastAsia="方正小标宋_GBK"/>
          <w:sz w:val="44"/>
          <w:szCs w:val="44"/>
          <w:highlight w:val="none"/>
          <w:lang w:eastAsia="zh-CN"/>
        </w:rPr>
        <w:t>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w:t>
      </w:r>
      <w:r>
        <w:rPr>
          <w:rFonts w:hint="eastAsia" w:ascii="仿宋_GB2312" w:hAnsi="仿宋_GB2312" w:eastAsia="仿宋_GB2312"/>
          <w:sz w:val="32"/>
          <w:lang w:eastAsia="zh-CN"/>
        </w:rPr>
        <w:t>执行</w:t>
      </w:r>
      <w:r>
        <w:rPr>
          <w:rFonts w:ascii="仿宋_GB2312" w:hAnsi="仿宋_GB2312" w:eastAsia="仿宋_GB2312"/>
          <w:sz w:val="32"/>
        </w:rPr>
        <w:t>国家、自治区、地区有关国内外贸易、国际经济合作的发展政策，指导和协调内外管理、招商引资、外商投资管理、对外经济合作工作；积极推进“一带一路”建设工作。</w:t>
      </w:r>
    </w:p>
    <w:p>
      <w:pPr>
        <w:spacing w:line="580" w:lineRule="exact"/>
        <w:ind w:firstLine="640"/>
        <w:jc w:val="both"/>
      </w:pPr>
      <w:r>
        <w:rPr>
          <w:rFonts w:ascii="仿宋_GB2312" w:hAnsi="仿宋_GB2312" w:eastAsia="仿宋_GB2312"/>
          <w:sz w:val="32"/>
        </w:rPr>
        <w:t>（二）</w:t>
      </w:r>
      <w:r>
        <w:rPr>
          <w:rFonts w:hint="eastAsia" w:ascii="仿宋_GB2312" w:hAnsi="仿宋_GB2312" w:eastAsia="仿宋_GB2312"/>
          <w:sz w:val="32"/>
          <w:lang w:eastAsia="zh-CN"/>
        </w:rPr>
        <w:t>根据</w:t>
      </w:r>
      <w:r>
        <w:rPr>
          <w:rFonts w:ascii="仿宋_GB2312" w:hAnsi="仿宋_GB2312" w:eastAsia="仿宋_GB2312"/>
          <w:sz w:val="32"/>
        </w:rPr>
        <w:t>国家、自治区、地区有关推进流通产业结构调整的政策，指导流通企业改革、商贸服务业和社区商业发展，提出促进商贸中小企业发展的政策建议，推动流通标准化和连锁经营、商业特许经营、物流配送、电子商务等现代流通方式的发展。</w:t>
      </w:r>
    </w:p>
    <w:p>
      <w:pPr>
        <w:spacing w:line="580" w:lineRule="exact"/>
        <w:ind w:firstLine="640"/>
        <w:jc w:val="both"/>
      </w:pPr>
      <w:r>
        <w:rPr>
          <w:rFonts w:ascii="仿宋_GB2312" w:hAnsi="仿宋_GB2312" w:eastAsia="仿宋_GB2312"/>
          <w:sz w:val="32"/>
        </w:rPr>
        <w:t>（三）指导县域内大宗产品批发市场规划和城市商业网点规划、商业体系建设工作，推进农村市场体系建设，完善农村现代流通网络。</w:t>
      </w:r>
    </w:p>
    <w:p>
      <w:pPr>
        <w:spacing w:line="580" w:lineRule="exact"/>
        <w:ind w:firstLine="640"/>
        <w:jc w:val="both"/>
      </w:pPr>
      <w:r>
        <w:rPr>
          <w:rFonts w:ascii="仿宋_GB2312" w:hAnsi="仿宋_GB2312" w:eastAsia="仿宋_GB2312"/>
          <w:sz w:val="32"/>
        </w:rPr>
        <w:t>（四）承担牵头协调整顿和规范市场经济秩序工作的责任。规范市场运行、流通秩序，推动商务领域信用建设，指导商业信用销售；建立市场诚信公共服务平台，按有关规定对特殊流通行业进行监督管理，促进城乡市场健康发展。</w:t>
      </w:r>
    </w:p>
    <w:p>
      <w:pPr>
        <w:spacing w:line="580" w:lineRule="exact"/>
        <w:ind w:firstLine="640"/>
        <w:jc w:val="both"/>
      </w:pPr>
      <w:r>
        <w:rPr>
          <w:rFonts w:ascii="仿宋_GB2312" w:hAnsi="仿宋_GB2312" w:eastAsia="仿宋_GB2312"/>
          <w:sz w:val="32"/>
        </w:rPr>
        <w:t>（五）承担组织实施重要消费品市场调控和重要生产资料流通管理的责任，负责建立健全生活必需品市场供应应急管理机制，监测分析市场运行、商品供求状况，调查分析商品价格信息，进行预测预警和信息</w:t>
      </w:r>
      <w:r>
        <w:rPr>
          <w:rFonts w:hint="eastAsia" w:ascii="仿宋_GB2312" w:hAnsi="仿宋_GB2312" w:eastAsia="仿宋_GB2312"/>
          <w:sz w:val="32"/>
          <w:lang w:eastAsia="zh-CN"/>
        </w:rPr>
        <w:t>引导；</w:t>
      </w:r>
      <w:r>
        <w:rPr>
          <w:rFonts w:ascii="仿宋_GB2312" w:hAnsi="仿宋_GB2312" w:eastAsia="仿宋_GB2312"/>
          <w:sz w:val="32"/>
        </w:rPr>
        <w:t>按分工负责重要消费品储备管理和市场调控工作，按有关规定对成品油流通环节进行监督管理。</w:t>
      </w:r>
    </w:p>
    <w:p>
      <w:pPr>
        <w:spacing w:line="580" w:lineRule="exact"/>
        <w:ind w:firstLine="640"/>
        <w:jc w:val="both"/>
      </w:pPr>
      <w:r>
        <w:rPr>
          <w:rFonts w:ascii="仿宋_GB2312" w:hAnsi="仿宋_GB2312" w:eastAsia="仿宋_GB2312"/>
          <w:sz w:val="32"/>
        </w:rPr>
        <w:t>（六）贯彻执行国家进出口商品、加工贸易管理办法和进出口管理商品、技术目录，执行国家对外技术贸易、出口管制以及鼓励技术和成套进出口的贸易政策。</w:t>
      </w:r>
    </w:p>
    <w:p>
      <w:pPr>
        <w:spacing w:line="580" w:lineRule="exact"/>
        <w:ind w:firstLine="640"/>
        <w:jc w:val="both"/>
      </w:pPr>
      <w:r>
        <w:rPr>
          <w:rFonts w:ascii="仿宋_GB2312" w:hAnsi="仿宋_GB2312" w:eastAsia="仿宋_GB2312"/>
          <w:sz w:val="32"/>
        </w:rPr>
        <w:t>（七）执行国家对外技术贸易、出口管制以及鼓励技术和成套设备进出口政策。</w:t>
      </w:r>
    </w:p>
    <w:p>
      <w:pPr>
        <w:spacing w:line="580" w:lineRule="exact"/>
        <w:ind w:firstLine="640"/>
        <w:jc w:val="both"/>
      </w:pPr>
      <w:r>
        <w:rPr>
          <w:rFonts w:ascii="仿宋_GB2312" w:hAnsi="仿宋_GB2312" w:eastAsia="仿宋_GB2312"/>
          <w:sz w:val="32"/>
        </w:rPr>
        <w:t>（八）执行自治区、地区服务贸易发展规划并开展相关工作；负责组织县域企业参展工作；执行自治区、地区促进服务出口和服务外包的规划、政策并组织实施，推动服务外包平台建设。</w:t>
      </w:r>
    </w:p>
    <w:p>
      <w:pPr>
        <w:spacing w:line="580" w:lineRule="exact"/>
        <w:ind w:firstLine="640"/>
        <w:jc w:val="both"/>
      </w:pPr>
      <w:r>
        <w:rPr>
          <w:rFonts w:ascii="仿宋_GB2312" w:hAnsi="仿宋_GB2312" w:eastAsia="仿宋_GB2312"/>
          <w:sz w:val="32"/>
        </w:rPr>
        <w:t>（九）贯彻执行国家有关边境贸易的各项政策并组织实施；负责边民互市贸易的相关协调工作；推进市场采购贸易方式试点；承担有关周边国家经贸合作地方协调机制的工作。</w:t>
      </w:r>
    </w:p>
    <w:p>
      <w:pPr>
        <w:spacing w:line="580" w:lineRule="exact"/>
        <w:ind w:firstLine="640"/>
        <w:jc w:val="both"/>
      </w:pPr>
      <w:r>
        <w:rPr>
          <w:rFonts w:ascii="仿宋_GB2312" w:hAnsi="仿宋_GB2312" w:eastAsia="仿宋_GB2312"/>
          <w:sz w:val="32"/>
        </w:rPr>
        <w:t>（十）执行国家反倾销、反补贴、保障措施及其他与进出口公平贸易相关的工作，执行自治区、地区进出口公平贸易及产业损害预警机制。</w:t>
      </w:r>
    </w:p>
    <w:p>
      <w:pPr>
        <w:spacing w:line="580" w:lineRule="exact"/>
        <w:ind w:firstLine="640"/>
        <w:jc w:val="both"/>
      </w:pPr>
      <w:r>
        <w:rPr>
          <w:rFonts w:ascii="仿宋_GB2312" w:hAnsi="仿宋_GB2312" w:eastAsia="仿宋_GB2312"/>
          <w:sz w:val="32"/>
        </w:rPr>
        <w:t>（十一）贯彻执行国家、自治区、地区有关外商投资政策，规范对外招商引资活动。</w:t>
      </w:r>
    </w:p>
    <w:p>
      <w:pPr>
        <w:spacing w:line="580" w:lineRule="exact"/>
        <w:ind w:firstLine="640"/>
        <w:jc w:val="both"/>
      </w:pPr>
      <w:r>
        <w:rPr>
          <w:rFonts w:ascii="仿宋_GB2312" w:hAnsi="仿宋_GB2312" w:eastAsia="仿宋_GB2312"/>
          <w:sz w:val="32"/>
        </w:rPr>
        <w:t>（十二）负责对外经济合作工作；执行对外经济合作政策；负责县域企业对外投资（开办企业）备案（金融企业除外）。</w:t>
      </w:r>
    </w:p>
    <w:p>
      <w:pPr>
        <w:spacing w:line="580" w:lineRule="exact"/>
        <w:ind w:firstLine="640"/>
        <w:jc w:val="both"/>
      </w:pPr>
      <w:r>
        <w:rPr>
          <w:rFonts w:ascii="仿宋_GB2312" w:hAnsi="仿宋_GB2312" w:eastAsia="仿宋_GB2312"/>
          <w:sz w:val="32"/>
        </w:rPr>
        <w:t>（十三）</w:t>
      </w:r>
      <w:r>
        <w:rPr>
          <w:rFonts w:hint="eastAsia" w:ascii="仿宋_GB2312" w:hAnsi="仿宋_GB2312" w:eastAsia="仿宋_GB2312"/>
          <w:sz w:val="32"/>
          <w:lang w:eastAsia="zh-CN"/>
        </w:rPr>
        <w:t>拟</w:t>
      </w:r>
      <w:r>
        <w:rPr>
          <w:rFonts w:ascii="仿宋_GB2312" w:hAnsi="仿宋_GB2312" w:eastAsia="仿宋_GB2312"/>
          <w:sz w:val="32"/>
        </w:rPr>
        <w:t>订电子商务发展规划和措施并组织实施；反导企业信息化及运用电子商务开拓国内外市场；负责建立电子商务行业统计和评价体系，牵头推进电子商务支撑服务体系发展。</w:t>
      </w:r>
    </w:p>
    <w:p>
      <w:pPr>
        <w:spacing w:line="580" w:lineRule="exact"/>
        <w:ind w:firstLine="640"/>
        <w:jc w:val="both"/>
      </w:pPr>
      <w:r>
        <w:rPr>
          <w:rFonts w:ascii="仿宋_GB2312" w:hAnsi="仿宋_GB2312" w:eastAsia="仿宋_GB2312"/>
          <w:sz w:val="32"/>
        </w:rPr>
        <w:t>（十四）执行招商引资方针政策，编制招商引资发展规划和年度计划，负责组织、协调、推进县域招商引资活动，联系指导各行业有关招商引资的工作；完善招商引资服务体系。负责招商引资信息的收集、分析、发布等工作；负责招商引资统计工作。</w:t>
      </w:r>
    </w:p>
    <w:p>
      <w:pPr>
        <w:spacing w:line="580" w:lineRule="exact"/>
        <w:ind w:firstLine="640"/>
        <w:jc w:val="both"/>
      </w:pPr>
      <w:r>
        <w:rPr>
          <w:rFonts w:ascii="仿宋_GB2312" w:hAnsi="仿宋_GB2312" w:eastAsia="仿宋_GB2312"/>
          <w:sz w:val="32"/>
        </w:rPr>
        <w:t>（十五）做好商务系统和管理贸易投资促进工作。</w:t>
      </w:r>
    </w:p>
    <w:p>
      <w:pPr>
        <w:spacing w:line="580" w:lineRule="exact"/>
        <w:ind w:firstLine="640"/>
        <w:jc w:val="both"/>
      </w:pPr>
      <w:r>
        <w:rPr>
          <w:rFonts w:ascii="仿宋_GB2312" w:hAnsi="仿宋_GB2312" w:eastAsia="仿宋_GB2312"/>
          <w:sz w:val="32"/>
        </w:rPr>
        <w:t>（十六）贯彻执行国家、自治区、地区工业和信息化的法律法规和方针政策，提出工业和信息化发展规划和政策建议；贯彻落实工作和信息化发展的综合性法规、规章、政策，并组织实施和监督检查；推进信息化工业化融合。</w:t>
      </w:r>
    </w:p>
    <w:p>
      <w:pPr>
        <w:spacing w:line="580" w:lineRule="exact"/>
        <w:ind w:firstLine="640"/>
        <w:jc w:val="both"/>
      </w:pPr>
      <w:r>
        <w:rPr>
          <w:rFonts w:ascii="仿宋_GB2312" w:hAnsi="仿宋_GB2312" w:eastAsia="仿宋_GB2312"/>
          <w:sz w:val="32"/>
        </w:rPr>
        <w:t>（十七）拟订相关产业政策，并组织实施和监督检查；指导产业合理布局和结构调整；组织协调重点产业调整和高质量发展规划的拟订与实施。</w:t>
      </w:r>
    </w:p>
    <w:p>
      <w:pPr>
        <w:spacing w:line="580" w:lineRule="exact"/>
        <w:ind w:firstLine="640"/>
        <w:jc w:val="both"/>
      </w:pPr>
      <w:r>
        <w:rPr>
          <w:rFonts w:ascii="仿宋_GB2312" w:hAnsi="仿宋_GB2312" w:eastAsia="仿宋_GB2312"/>
          <w:sz w:val="32"/>
        </w:rPr>
        <w:t>（十八）监测分析工业经济运行态势，调节工业经济运行；贯彻落实工业经济运行调控目标、政策措施；统计并发布相关信息，进行预测预警和信息引导；协调解决工业经济运行中的重大问题并提出政策建议；协调解决油气运输等重大问题；组织实施现代物流业发展的相关政策措施；负责工业经济运行和产业安全有关工作。</w:t>
      </w:r>
    </w:p>
    <w:p>
      <w:pPr>
        <w:spacing w:line="580" w:lineRule="exact"/>
        <w:ind w:firstLine="640"/>
        <w:jc w:val="both"/>
      </w:pPr>
      <w:r>
        <w:rPr>
          <w:rFonts w:ascii="仿宋_GB2312" w:hAnsi="仿宋_GB2312" w:eastAsia="仿宋_GB2312"/>
          <w:sz w:val="32"/>
        </w:rPr>
        <w:t>（十九）负责工业信息化领域各行业的管理，贯彻落实国家、自治区、地区行业专项规划、技术规范和标准；负责盐业行业管理；负责园区建设管理工作；指导轻工、农副产品加工、纺织、建材等行业管理。</w:t>
      </w:r>
    </w:p>
    <w:p>
      <w:pPr>
        <w:spacing w:line="580" w:lineRule="exact"/>
        <w:ind w:firstLine="640"/>
        <w:jc w:val="both"/>
      </w:pPr>
      <w:r>
        <w:rPr>
          <w:rFonts w:ascii="仿宋_GB2312" w:hAnsi="仿宋_GB2312" w:eastAsia="仿宋_GB2312"/>
          <w:sz w:val="32"/>
        </w:rPr>
        <w:t>（二十）负责工业和信息化及信息化建设的技术改造投资管理；贯彻落实国家、自治区、地区技术改造投资的有关政策措施；负责工业企业技术改造投资项目审核、备案。</w:t>
      </w:r>
    </w:p>
    <w:p>
      <w:pPr>
        <w:spacing w:line="580" w:lineRule="exact"/>
        <w:ind w:firstLine="640"/>
        <w:jc w:val="both"/>
      </w:pPr>
      <w:r>
        <w:rPr>
          <w:rFonts w:ascii="仿宋_GB2312" w:hAnsi="仿宋_GB2312" w:eastAsia="仿宋_GB2312"/>
          <w:sz w:val="32"/>
        </w:rPr>
        <w:t>（二十一）贯彻落实工业和信息化领域技术创新政策措施；培育和发展战略性新兴产业；落实装备工作发展规划及政策措施；负责推进装备制造产业发展工作；指导工业和信息化领域对外经济技术合作、交流及招商引资工作。</w:t>
      </w:r>
    </w:p>
    <w:p>
      <w:pPr>
        <w:spacing w:line="580" w:lineRule="exact"/>
        <w:ind w:firstLine="640"/>
        <w:jc w:val="both"/>
      </w:pPr>
      <w:r>
        <w:rPr>
          <w:rFonts w:ascii="仿宋_GB2312" w:hAnsi="仿宋_GB2312" w:eastAsia="仿宋_GB2312"/>
          <w:sz w:val="32"/>
        </w:rPr>
        <w:t>（二十二）贯彻落实国家、自治区、地区促进中小企业发展的相关政策措施，负责对中小企业的宏观指导和服务，指导中小企业改革与发展，建立健全服务体系；负责工业和信息化领域人员的培训；负责组织协调减轻企业负担工作。</w:t>
      </w:r>
    </w:p>
    <w:p>
      <w:pPr>
        <w:spacing w:line="580" w:lineRule="exact"/>
        <w:ind w:firstLine="640"/>
        <w:jc w:val="both"/>
      </w:pPr>
      <w:r>
        <w:rPr>
          <w:rFonts w:ascii="仿宋_GB2312" w:hAnsi="仿宋_GB2312" w:eastAsia="仿宋_GB2312"/>
          <w:sz w:val="32"/>
        </w:rPr>
        <w:t>（二十三）贯彻落实工作和信息化领域资源节约和综合利用政策；指导工作节能减排综合协调和监督管理工作；负责工业节能执法工作；指导工业和信息化领域循环经济发展；协调工业和信息化领域清洁生产和节能环保产业发展工作。</w:t>
      </w:r>
    </w:p>
    <w:p>
      <w:pPr>
        <w:spacing w:line="580" w:lineRule="exact"/>
        <w:ind w:firstLine="640"/>
        <w:jc w:val="both"/>
      </w:pPr>
      <w:r>
        <w:rPr>
          <w:rFonts w:ascii="仿宋_GB2312" w:hAnsi="仿宋_GB2312" w:eastAsia="仿宋_GB2312"/>
          <w:sz w:val="32"/>
        </w:rPr>
        <w:t>（二十四）负责民爆行业管理；对民用爆炸物品生产、销售进行监督管理；指导、监督工业领域安全生产工作。</w:t>
      </w:r>
    </w:p>
    <w:p>
      <w:pPr>
        <w:spacing w:line="580" w:lineRule="exact"/>
        <w:ind w:firstLine="640"/>
        <w:jc w:val="both"/>
      </w:pPr>
      <w:r>
        <w:rPr>
          <w:rFonts w:ascii="仿宋_GB2312" w:hAnsi="仿宋_GB2312" w:eastAsia="仿宋_GB2312"/>
          <w:sz w:val="32"/>
        </w:rPr>
        <w:t>（二十五）贯彻执行国家电力行业技术规范和标准；负责权限范围内的电力行政执法、监督；组织协调解决电力生产、运营和供应中的重大问题。</w:t>
      </w:r>
    </w:p>
    <w:p>
      <w:pPr>
        <w:spacing w:line="580" w:lineRule="exact"/>
        <w:ind w:firstLine="640"/>
        <w:jc w:val="both"/>
      </w:pPr>
      <w:r>
        <w:rPr>
          <w:rFonts w:ascii="仿宋_GB2312" w:hAnsi="仿宋_GB2312" w:eastAsia="仿宋_GB2312"/>
          <w:sz w:val="32"/>
        </w:rPr>
        <w:t>（二十六）负责打进信息化工作；指导、协调经济社会各领域信息技术的推广应用工作；推进县域面向社会服务的互联互通及重要信息资源开发利用和共享；统筹指导工业信息化安全管理工作。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（二十七）贯彻执行电子信息产业发展规划；落实电子信息产业重大项目的组织和实施。</w:t>
      </w:r>
    </w:p>
    <w:p>
      <w:pPr>
        <w:spacing w:line="580" w:lineRule="exact"/>
        <w:ind w:firstLine="640"/>
        <w:jc w:val="both"/>
        <w:rPr>
          <w:rFonts w:hint="eastAsia" w:ascii="仿宋_GB2312" w:hAnsi="仿宋_GB2312" w:eastAsia="仿宋_GB2312"/>
          <w:sz w:val="32"/>
          <w:lang w:eastAsia="zh-CN"/>
        </w:rPr>
      </w:pPr>
      <w:r>
        <w:rPr>
          <w:rFonts w:ascii="仿宋_GB2312" w:hAnsi="仿宋_GB2312" w:eastAsia="仿宋_GB2312"/>
          <w:sz w:val="32"/>
        </w:rPr>
        <w:t>（二十</w:t>
      </w:r>
      <w:r>
        <w:rPr>
          <w:rFonts w:hint="eastAsia" w:ascii="仿宋_GB2312" w:hAnsi="仿宋_GB2312" w:eastAsia="仿宋_GB2312"/>
          <w:sz w:val="32"/>
          <w:lang w:eastAsia="zh-CN"/>
        </w:rPr>
        <w:t>八</w:t>
      </w:r>
      <w:r>
        <w:rPr>
          <w:rFonts w:ascii="仿宋_GB2312" w:hAnsi="仿宋_GB2312" w:eastAsia="仿宋_GB2312"/>
          <w:sz w:val="32"/>
        </w:rPr>
        <w:t>）</w:t>
      </w:r>
      <w:r>
        <w:rPr>
          <w:rFonts w:hint="eastAsia" w:ascii="仿宋_GB2312" w:hAnsi="仿宋_GB2312" w:eastAsia="仿宋_GB2312"/>
          <w:sz w:val="32"/>
          <w:lang w:eastAsia="zh-CN"/>
        </w:rPr>
        <w:t>完成县委、县人民政府交办的其他任务。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裕民县商务和工业信息化局2024年度，实有人数41人，其中：在职人员14人，减少2人；离休人员0人，增加0人；退休人员27人,减少1人。</w:t>
      </w:r>
    </w:p>
    <w:p>
      <w:pPr>
        <w:spacing w:line="580" w:lineRule="exact"/>
        <w:ind w:firstLine="640"/>
        <w:jc w:val="both"/>
      </w:pPr>
      <w:r>
        <w:rPr>
          <w:rFonts w:ascii="仿宋_GB2312" w:hAnsi="仿宋_GB2312" w:eastAsia="仿宋_GB2312"/>
          <w:sz w:val="32"/>
        </w:rPr>
        <w:t>裕民县商务和工业信息化局无下属预算单位，下设1个科室，分别是：本单位无下设科室。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2024年度收入总计4,633.30万元，</w:t>
      </w:r>
      <w:r>
        <w:rPr>
          <w:rFonts w:ascii="仿宋_GB2312" w:hAnsi="仿宋_GB2312" w:eastAsia="仿宋_GB2312"/>
          <w:b w:val="0"/>
          <w:sz w:val="32"/>
        </w:rPr>
        <w:t>其中：本年收入合计4,292.93万元，使用非财政拨款结余（含专用结余）0.00万元，年初结转和结余340.38万元。</w:t>
      </w:r>
    </w:p>
    <w:p>
      <w:pPr>
        <w:spacing w:line="580" w:lineRule="exact"/>
        <w:ind w:firstLine="640"/>
        <w:jc w:val="both"/>
        <w:rPr>
          <w:w w:val="96"/>
        </w:rPr>
      </w:pPr>
      <w:r>
        <w:rPr>
          <w:rFonts w:ascii="仿宋_GB2312" w:hAnsi="仿宋_GB2312" w:eastAsia="仿宋_GB2312"/>
          <w:b/>
          <w:sz w:val="32"/>
        </w:rPr>
        <w:t>2024年度支出总计4,633.30万元，</w:t>
      </w:r>
      <w:r>
        <w:rPr>
          <w:rFonts w:ascii="仿宋_GB2312" w:hAnsi="仿宋_GB2312" w:eastAsia="仿宋_GB2312"/>
          <w:b w:val="0"/>
          <w:sz w:val="32"/>
        </w:rPr>
        <w:t>其中：本年支出合计</w:t>
      </w:r>
      <w:r>
        <w:rPr>
          <w:rFonts w:ascii="仿宋_GB2312" w:hAnsi="仿宋_GB2312" w:eastAsia="仿宋_GB2312"/>
          <w:b w:val="0"/>
          <w:w w:val="96"/>
          <w:sz w:val="32"/>
        </w:rPr>
        <w:t>4,633.30万元，结余分配0.00万元，年末结转和结余0.00万元。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2,318.39万元，增长100.15%，主要原因是：本年增加裕民县农畜产品5Ｇ全追踪溯源项目汽车、裕民县农副产品加工产业延链巩固提升项目、电动车等家电家具以旧换新补贴、辽宁援建资金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rPr>
          <w:w w:val="98"/>
        </w:rPr>
      </w:pPr>
      <w:r>
        <w:rPr>
          <w:rFonts w:ascii="仿宋_GB2312" w:hAnsi="仿宋_GB2312" w:eastAsia="仿宋_GB2312"/>
          <w:b/>
          <w:w w:val="98"/>
          <w:sz w:val="32"/>
        </w:rPr>
        <w:t>本年收入4,292.93万元，</w:t>
      </w:r>
      <w:r>
        <w:rPr>
          <w:rFonts w:ascii="仿宋_GB2312" w:hAnsi="仿宋_GB2312" w:eastAsia="仿宋_GB2312"/>
          <w:b w:val="0"/>
          <w:w w:val="98"/>
          <w:sz w:val="32"/>
        </w:rPr>
        <w:t>其中：财政拨款收入3,985.45万元，占92.84%；上级补助收入0.00万元，占0.00%；事业收入0.00万元，占0.00%；经营收入0.00万元，占0.00%；附属单位上缴收入0.00万元，占0.00%；其他收入307.48万元，占7.16%。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本年支出4,633.30万元，</w:t>
      </w:r>
      <w:r>
        <w:rPr>
          <w:rFonts w:ascii="仿宋_GB2312" w:hAnsi="仿宋_GB2312" w:eastAsia="仿宋_GB2312"/>
          <w:b w:val="0"/>
          <w:sz w:val="32"/>
        </w:rPr>
        <w:t>其中：基本支出811.59万元，占17.52%；项目支出3,821.71万元，占82.48%；上缴上级支出0.00万元，占0.00%；经营支出0.00万元，占0.00%；对附属单位补助支出0.00万元，占0.00%。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2024年度财政拨款收入总计4,325.59万元，</w:t>
      </w:r>
      <w:r>
        <w:rPr>
          <w:rFonts w:ascii="仿宋_GB2312" w:hAnsi="仿宋_GB2312" w:eastAsia="仿宋_GB2312"/>
          <w:b w:val="0"/>
          <w:sz w:val="32"/>
        </w:rPr>
        <w:t>其中：年初财政拨款结转和结余340.14万元，本年财政拨款收入3,985.45万元。</w:t>
      </w:r>
      <w:r>
        <w:rPr>
          <w:rFonts w:ascii="仿宋_GB2312" w:hAnsi="仿宋_GB2312" w:eastAsia="仿宋_GB2312"/>
          <w:b/>
          <w:sz w:val="32"/>
        </w:rPr>
        <w:t>财政拨款支出总计4,325.59万元，</w:t>
      </w:r>
      <w:r>
        <w:rPr>
          <w:rFonts w:ascii="仿宋_GB2312" w:hAnsi="仿宋_GB2312" w:eastAsia="仿宋_GB2312"/>
          <w:b w:val="0"/>
          <w:sz w:val="32"/>
        </w:rPr>
        <w:t>其中：年末财政拨款结转和结余0.00万元，本年财政拨款支出4,325.59万元。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增加2,254.85万元，增长108.89%，主要原因是：本年增加裕民县农畜产品5Ｇ全追踪溯源项目汽车、裕民县农副产品加工产业延链巩固提升项目、电动车等家电家具以旧换新补贴等。</w:t>
      </w:r>
      <w:r>
        <w:rPr>
          <w:rFonts w:ascii="仿宋_GB2312" w:hAnsi="仿宋_GB2312" w:eastAsia="仿宋_GB2312"/>
          <w:b/>
          <w:sz w:val="32"/>
        </w:rPr>
        <w:t>与年初预算相比，</w:t>
      </w:r>
      <w:r>
        <w:rPr>
          <w:rFonts w:ascii="仿宋_GB2312" w:hAnsi="仿宋_GB2312" w:eastAsia="仿宋_GB2312"/>
          <w:b w:val="0"/>
          <w:sz w:val="32"/>
        </w:rPr>
        <w:t>年初预算数615.61万元，决算数4,325.59万元，预决算差异率602.65%，主要原因是：年内追加裕民县农畜产品5Ｇ全追踪溯源项目汽车、裕民县农副产品加工产业延链巩固提升项目、电动车等家电家具以旧换新补贴等。</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2024年度一般公共预算财政拨款支出2,612.92万元，</w:t>
      </w:r>
      <w:r>
        <w:rPr>
          <w:rFonts w:ascii="仿宋_GB2312" w:hAnsi="仿宋_GB2312" w:eastAsia="仿宋_GB2312"/>
          <w:b w:val="0"/>
          <w:sz w:val="32"/>
        </w:rPr>
        <w:t>占本年支出合计的56.39%。</w:t>
      </w:r>
      <w:r>
        <w:rPr>
          <w:rFonts w:ascii="仿宋_GB2312" w:hAnsi="仿宋_GB2312" w:eastAsia="仿宋_GB2312"/>
          <w:b/>
          <w:sz w:val="32"/>
        </w:rPr>
        <w:t>与上年相比，</w:t>
      </w:r>
      <w:r>
        <w:rPr>
          <w:rFonts w:ascii="仿宋_GB2312" w:hAnsi="仿宋_GB2312" w:eastAsia="仿宋_GB2312"/>
          <w:b w:val="0"/>
          <w:sz w:val="32"/>
        </w:rPr>
        <w:t>增加882.32万元，增长50.98%，主要原因是：本年增加裕民县农畜产品5Ｇ全追踪溯源项目、裕民县农副产品加工产业延链巩固提升项目、汽车、电动车等家电家具以旧换新补贴等。</w:t>
      </w:r>
      <w:r>
        <w:rPr>
          <w:rFonts w:ascii="仿宋_GB2312" w:hAnsi="仿宋_GB2312" w:eastAsia="仿宋_GB2312"/>
          <w:b/>
          <w:sz w:val="32"/>
        </w:rPr>
        <w:t>与年初预算相比,</w:t>
      </w:r>
      <w:r>
        <w:rPr>
          <w:rFonts w:ascii="仿宋_GB2312" w:hAnsi="仿宋_GB2312" w:eastAsia="仿宋_GB2312"/>
          <w:b w:val="0"/>
          <w:sz w:val="32"/>
        </w:rPr>
        <w:t>年初预算数615.61万元，决算数2,612.92万元，预决算差异率324.44%，主要原因是：年内追加裕民县农畜产品5Ｇ全追踪溯源项目、裕民县农副产品加工产业延链巩固提升项目、汽车、电动车等家电家具以旧换新补贴等。</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1.一般公共服务支出(类)367.91万元,占14.08%。</w:t>
      </w:r>
    </w:p>
    <w:p>
      <w:pPr>
        <w:spacing w:line="580" w:lineRule="exact"/>
        <w:ind w:firstLine="640"/>
        <w:jc w:val="both"/>
      </w:pPr>
      <w:r>
        <w:rPr>
          <w:rFonts w:ascii="仿宋_GB2312" w:hAnsi="仿宋_GB2312" w:eastAsia="仿宋_GB2312"/>
          <w:b w:val="0"/>
          <w:sz w:val="32"/>
        </w:rPr>
        <w:t>2.科学技术支出(类)160.00万元,占6.12%。</w:t>
      </w:r>
    </w:p>
    <w:p>
      <w:pPr>
        <w:spacing w:line="580" w:lineRule="exact"/>
        <w:ind w:firstLine="640"/>
        <w:jc w:val="both"/>
      </w:pPr>
      <w:r>
        <w:rPr>
          <w:rFonts w:ascii="仿宋_GB2312" w:hAnsi="仿宋_GB2312" w:eastAsia="仿宋_GB2312"/>
          <w:b w:val="0"/>
          <w:sz w:val="32"/>
        </w:rPr>
        <w:t>3.社会保障和就业支出(类)92.61万元,占3.54%。</w:t>
      </w:r>
    </w:p>
    <w:p>
      <w:pPr>
        <w:spacing w:line="580" w:lineRule="exact"/>
        <w:ind w:firstLine="640"/>
        <w:jc w:val="both"/>
      </w:pPr>
      <w:r>
        <w:rPr>
          <w:rFonts w:ascii="仿宋_GB2312" w:hAnsi="仿宋_GB2312" w:eastAsia="仿宋_GB2312"/>
          <w:b w:val="0"/>
          <w:sz w:val="32"/>
        </w:rPr>
        <w:t>4.卫生健康支出(类)11.92万元,占0.46%。</w:t>
      </w:r>
    </w:p>
    <w:p>
      <w:pPr>
        <w:spacing w:line="580" w:lineRule="exact"/>
        <w:ind w:firstLine="640"/>
        <w:jc w:val="both"/>
      </w:pPr>
      <w:r>
        <w:rPr>
          <w:rFonts w:ascii="仿宋_GB2312" w:hAnsi="仿宋_GB2312" w:eastAsia="仿宋_GB2312"/>
          <w:b w:val="0"/>
          <w:sz w:val="32"/>
        </w:rPr>
        <w:t>5.资源勘探工业信息等支出(类)15.00万元,占0.57%。</w:t>
      </w:r>
    </w:p>
    <w:p>
      <w:pPr>
        <w:spacing w:line="580" w:lineRule="exact"/>
        <w:ind w:firstLine="640"/>
        <w:jc w:val="both"/>
      </w:pPr>
      <w:r>
        <w:rPr>
          <w:rFonts w:ascii="仿宋_GB2312" w:hAnsi="仿宋_GB2312" w:eastAsia="仿宋_GB2312"/>
          <w:b w:val="0"/>
          <w:sz w:val="32"/>
        </w:rPr>
        <w:t>6.商业服务业等支出(类)1,345.99万元,占51.51%。</w:t>
      </w:r>
    </w:p>
    <w:p>
      <w:pPr>
        <w:spacing w:line="580" w:lineRule="exact"/>
        <w:ind w:firstLine="640"/>
        <w:jc w:val="both"/>
      </w:pPr>
      <w:r>
        <w:rPr>
          <w:rFonts w:ascii="仿宋_GB2312" w:hAnsi="仿宋_GB2312" w:eastAsia="仿宋_GB2312"/>
          <w:b w:val="0"/>
          <w:sz w:val="32"/>
        </w:rPr>
        <w:t>7.住房保障支出(类)19.49万元,占0.75%。</w:t>
      </w:r>
    </w:p>
    <w:p>
      <w:pPr>
        <w:spacing w:line="580" w:lineRule="exact"/>
        <w:ind w:firstLine="640"/>
        <w:jc w:val="both"/>
      </w:pPr>
      <w:r>
        <w:rPr>
          <w:rFonts w:ascii="仿宋_GB2312" w:hAnsi="仿宋_GB2312" w:eastAsia="仿宋_GB2312"/>
          <w:b w:val="0"/>
          <w:sz w:val="32"/>
        </w:rPr>
        <w:t>8.粮油物资储备支出(类)600.00万元,占22.96%。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1.一般公共服务支出(类)商贸事务(款)行政运行(项):支出决算数为194.70万元，比上年决算减少23.65万元，下降10.83%,主要原因是：本年在职人员减少，相应人员经费较上年减少。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2.一般公共服务支出(类)商贸事务(款)招商引资(项):支出决算数为37.97万元，比上年决算减少17.63万元，下降31.71%,主要原因是：招商引资经费按实际发生额报销，招商外出及商务接待费比上年减少，导致经费减少。</w:t>
      </w:r>
    </w:p>
    <w:p>
      <w:pPr>
        <w:spacing w:line="580" w:lineRule="exact"/>
        <w:ind w:firstLine="640"/>
        <w:jc w:val="both"/>
      </w:pPr>
      <w:r>
        <w:rPr>
          <w:rFonts w:ascii="仿宋_GB2312" w:hAnsi="仿宋_GB2312" w:eastAsia="仿宋_GB2312"/>
          <w:b w:val="0"/>
          <w:sz w:val="32"/>
        </w:rPr>
        <w:t>3.一般公共服务支出(类)商贸事务(款)其他商贸事务支出(项):支出决算数为135.24万元，比上年决算增加120.24万元，增长801.60%,主要原因是：本年增加促进消费市场发展专项资金、小升规企业奖励资金。</w:t>
      </w:r>
    </w:p>
    <w:p>
      <w:pPr>
        <w:spacing w:line="580" w:lineRule="exact"/>
        <w:ind w:firstLine="640"/>
        <w:jc w:val="both"/>
      </w:pPr>
      <w:r>
        <w:rPr>
          <w:rFonts w:ascii="仿宋_GB2312" w:hAnsi="仿宋_GB2312" w:eastAsia="仿宋_GB2312"/>
          <w:b w:val="0"/>
          <w:sz w:val="32"/>
        </w:rPr>
        <w:t>4.科学技术支出(类)基础研究(款)科技人才队伍建设(项):支出决算数为160.00万元，比上年决算增加160.00万元，增长100.00%,主要原因是：本年增加科技人才队伍建设资金。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5.社会保障和就业支出(类)行政事业单位养老支出(款)行政单位离退休(项):支出决算数为61.47万元，比上年决算增加46.29万元，增长304.94%,主要原因是：本年退休人员死亡，发放死亡抚恤金。</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24.42万元，比上年决算增加0.84万元，增长3.56%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7.社会保障和就业支出(类)行政事业单位养老支出(款)机关事业单位职业年金缴费支出(项):支出决算数为6.72万元，比上年决算增加6.72万元，增长100.00%,主要原因是：本年新增退休人员，职业年金缴费支出增加。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8.卫生健康支出(类)行政事业单位医疗(款)行政单位医疗(项):支出决算数为10.21万元，比上年决算减少0.26万元，下降2.48%,主要原因是：本年在职人员减少，行政单位医疗支出较上年减少。</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9.卫生健康支出(类)行政事业单位医疗(款)公务员医疗补助(项):支出决算数为1.71万元，比上年决算减少0.28万元，下降14.07%,主要原因是：本年在职人员减少，公务员医疗补助较上年减少。</w:t>
      </w:r>
    </w:p>
    <w:p>
      <w:pPr>
        <w:spacing w:line="580" w:lineRule="exact"/>
        <w:ind w:firstLine="640"/>
        <w:jc w:val="both"/>
      </w:pPr>
      <w:r>
        <w:rPr>
          <w:rFonts w:ascii="仿宋_GB2312" w:hAnsi="仿宋_GB2312" w:eastAsia="仿宋_GB2312"/>
          <w:b w:val="0"/>
          <w:sz w:val="32"/>
        </w:rPr>
        <w:t>10.农林水支出(类)农业农村(款)其他农业农村支出(项):支出决算数为0.00万元，比上年决算减少10.11万元，下降100.00%,主要原因是：本年减少为民办实事经费。</w:t>
      </w:r>
    </w:p>
    <w:p>
      <w:pPr>
        <w:spacing w:line="580" w:lineRule="exact"/>
        <w:ind w:firstLine="640"/>
        <w:jc w:val="both"/>
      </w:pPr>
      <w:r>
        <w:rPr>
          <w:rFonts w:ascii="仿宋_GB2312" w:hAnsi="仿宋_GB2312" w:eastAsia="仿宋_GB2312"/>
          <w:b w:val="0"/>
          <w:sz w:val="32"/>
        </w:rPr>
        <w:t>11.资源勘探工业信息等支出(类)其他资源勘探工业信息等支出(款)其他资源勘探工业信息等支出(项):支出决算数为15.00万元，比上年决算增加15.00万元，增长100.00%,主要原因是：本年增加小升规企业奖励金。</w:t>
      </w:r>
    </w:p>
    <w:p>
      <w:pPr>
        <w:spacing w:line="580" w:lineRule="exact"/>
        <w:ind w:firstLine="640"/>
        <w:jc w:val="both"/>
      </w:pPr>
      <w:r>
        <w:rPr>
          <w:rFonts w:ascii="仿宋_GB2312" w:hAnsi="仿宋_GB2312" w:eastAsia="仿宋_GB2312"/>
          <w:b w:val="0"/>
          <w:sz w:val="32"/>
        </w:rPr>
        <w:t>12.商业服务业等支出(类)商业流通事务(款)其他商业流通事务支出(项):支出决算数为1,345.99万元，比上年决算减少15.82万元，下降1.16%,主要原因是：本年裕民县电子商务进农村综合示范县项目减少。</w:t>
      </w:r>
    </w:p>
    <w:p>
      <w:pPr>
        <w:spacing w:line="580" w:lineRule="exact"/>
        <w:ind w:firstLine="640"/>
        <w:jc w:val="both"/>
      </w:pPr>
      <w:r>
        <w:rPr>
          <w:rFonts w:ascii="仿宋_GB2312" w:hAnsi="仿宋_GB2312" w:eastAsia="仿宋_GB2312"/>
          <w:b w:val="0"/>
          <w:sz w:val="32"/>
        </w:rPr>
        <w:t>13.住房保障支出(类)住房改革支出(款)住房公积金(项):支出决算数为19.49万元，比上年决算增加0.98万元，增长5.29%,主要原因是：本年在职人员工资基数调增，公积金缴费基数上涨，相应支出增加。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14.粮油物资储备支出(类)粮油物资事务(款)其他粮油物资事务支出(项):支出决算数为600.00万元，比上年决算增加600.00万元，增长100.00%,主要原因是：本年增加扶持裕民县油料加工企业发展奖励金。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2024年度一般公共预算财政拨款基本支出811.36万元，其中：</w:t>
      </w:r>
      <w:r>
        <w:rPr>
          <w:rFonts w:ascii="仿宋_GB2312" w:hAnsi="仿宋_GB2312" w:eastAsia="仿宋_GB2312"/>
          <w:b/>
          <w:sz w:val="32"/>
        </w:rPr>
        <w:t>人员经费800.31万元，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奖励金。</w:t>
      </w:r>
    </w:p>
    <w:p>
      <w:pPr>
        <w:spacing w:line="580" w:lineRule="exact"/>
        <w:ind w:firstLine="640"/>
        <w:jc w:val="both"/>
      </w:pPr>
      <w:r>
        <w:rPr>
          <w:rFonts w:ascii="仿宋_GB2312" w:hAnsi="仿宋_GB2312" w:eastAsia="仿宋_GB2312"/>
          <w:b/>
          <w:sz w:val="32"/>
        </w:rPr>
        <w:t>公用经费11.05万元，</w:t>
      </w:r>
      <w:r>
        <w:rPr>
          <w:rFonts w:ascii="仿宋_GB2312" w:hAnsi="仿宋_GB2312" w:eastAsia="仿宋_GB2312"/>
          <w:b w:val="0"/>
          <w:sz w:val="32"/>
        </w:rPr>
        <w:t>包括：办公费、印刷费、邮电费、取暖费、物业管理费、差旅费、培训费、工会经费、公务用车运行维护费、其他交通费用、其他商品和服务支出、办公设备购置。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2024年度政府性基金预算财政拨款收入总计1,712.67万元，</w:t>
      </w:r>
      <w:r>
        <w:rPr>
          <w:rFonts w:ascii="仿宋_GB2312" w:hAnsi="仿宋_GB2312" w:eastAsia="仿宋_GB2312"/>
          <w:b w:val="0"/>
          <w:sz w:val="32"/>
        </w:rPr>
        <w:t>其中：年初结转和结余0.00万元，本年收入1,712.67万元。</w:t>
      </w:r>
      <w:r>
        <w:rPr>
          <w:rFonts w:ascii="仿宋_GB2312" w:hAnsi="仿宋_GB2312" w:eastAsia="仿宋_GB2312"/>
          <w:b/>
          <w:sz w:val="32"/>
        </w:rPr>
        <w:t>政府性基金预算财政拨款支出总计1,712.67万元，</w:t>
      </w:r>
      <w:r>
        <w:rPr>
          <w:rFonts w:ascii="仿宋_GB2312" w:hAnsi="仿宋_GB2312" w:eastAsia="仿宋_GB2312"/>
          <w:b w:val="0"/>
          <w:sz w:val="32"/>
        </w:rPr>
        <w:t>其中：年末结转和结余0.00万元，本年支出1,712.67万元。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增加1,712.67万元，增长100.00%，主要原因是：本年增加2024年内追加裕民县农畜产品5Ｇ全追踪溯源项目汽车、裕民县农副产品加工产业延链巩固提升项目、电动车等家电家具以旧换新补贴等。</w:t>
      </w:r>
      <w:r>
        <w:rPr>
          <w:rFonts w:ascii="仿宋_GB2312" w:hAnsi="仿宋_GB2312" w:eastAsia="仿宋_GB2312"/>
          <w:b/>
          <w:sz w:val="32"/>
        </w:rPr>
        <w:t>与年初预算相比，</w:t>
      </w:r>
      <w:r>
        <w:rPr>
          <w:rFonts w:ascii="仿宋_GB2312" w:hAnsi="仿宋_GB2312" w:eastAsia="仿宋_GB2312"/>
          <w:b w:val="0"/>
          <w:sz w:val="32"/>
        </w:rPr>
        <w:t>年初预算数0.00万元，决算数1,712.67万元，预决算差异率100.00%，主要原因是：年中追加裕民县农畜产品5Ｇ全追踪溯源项目汽车、裕民县农副产品加工产业延链巩固提升项目、电动车等家电家具以旧换新补贴等。</w:t>
      </w:r>
    </w:p>
    <w:p>
      <w:pPr>
        <w:spacing w:line="580" w:lineRule="exact"/>
        <w:ind w:firstLine="640"/>
        <w:jc w:val="both"/>
      </w:pPr>
      <w:r>
        <w:rPr>
          <w:rFonts w:ascii="仿宋_GB2312" w:hAnsi="仿宋_GB2312" w:eastAsia="仿宋_GB2312"/>
          <w:b w:val="0"/>
          <w:sz w:val="32"/>
        </w:rPr>
        <w:t>政府性基金预算财政拨款支出1,712.67万元。</w:t>
      </w:r>
    </w:p>
    <w:p>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1.资源勘探工业信息等支出(类)超长期特别国债安排的支出(款)制造业(项):支出决算数为77.19万元，比上年决算增加77.19万元，增长100.00%,主要原因是：本年增加汽车、电动车等家电家具以旧换新补贴。</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1,635.48万元，比上年决算增加1,635.48万元，增长100.00%,主要原因是：本年增加裕民县农副产品加工产业延链巩固提升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2024年度财政拨款“三公”经费支出7.77万元，</w:t>
      </w:r>
      <w:r>
        <w:rPr>
          <w:rFonts w:ascii="仿宋_GB2312" w:hAnsi="仿宋_GB2312" w:eastAsia="仿宋_GB2312"/>
          <w:b w:val="0"/>
          <w:sz w:val="32"/>
        </w:rPr>
        <w:t>比上年增加1.23万元，增长18.84%，主要原因是：招商引资商务接待次数比上年增加，导致接待支出增加。其中：因公出国（境）费支出0.00万元，占0.00%，比上年增加0.00万元，增长0.00%，主要原因是：2023年与2024年均未安排因公出国（境）费支出。公务用车购置及运行维护费支出1.03万元，占13.26%，比上年减少0.17万元，下降14.17%，主要原因是：上年我单位承担编制内特种车辆物流车保险，本年无此经费支出，导致经费减少。公务接待费支出6.73万元，占86.62%，比上年增加1.40万元，增长26.27%，主要原因是：招商引资商务接待次数比上年增加，导致支出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1.03万元，其中：公务用车购置费0.00万元，公务用车运行维护费1.03万元。公务用车运行维护费开支内容包括车辆加油费、维修费、保险费、审车费、过路费等。公务用车购置数0辆，公务用车保有量1辆。国有资产占用情况中固定资产车辆6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公务接待费6.73万元，开支内容包括因招商引资商务客商，接待产生的就餐费。单位全年安排的国内公务接待82批次，475人次。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8.73万元，决算数7.77万元，预决算差异率-11.00%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1.03万元，预决算差异率-48.50%，主要原因是：严格落实中央八项规定精神，厉行节约，减少经费支出。公务接待费全年预算数6.73万元，决算数6.73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商务和工业信息化局（行政单位和参照公务员法管理事业单位）机关运行经费支出11.05万元，比上年减少56.46万元，下降83.63%，主要原因是：上年机关运行经费包括招商引资工作经费支出，本年招商引资工作经费在项目里反映，导致机关运行经费支出下降。</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2024年度政府采购支出总额18.47万元，其中：政府采购货物支出4.67万元、政府采购工程支出0.00万元、政府采购服务支出13.80万元。</w:t>
      </w:r>
    </w:p>
    <w:p>
      <w:pPr>
        <w:spacing w:line="580" w:lineRule="exact"/>
        <w:ind w:firstLine="640"/>
        <w:jc w:val="both"/>
      </w:pPr>
      <w:r>
        <w:rPr>
          <w:rFonts w:ascii="仿宋_GB2312" w:hAnsi="仿宋_GB2312" w:eastAsia="仿宋_GB2312"/>
          <w:b w:val="0"/>
          <w:sz w:val="32"/>
        </w:rPr>
        <w:t>授予中小企业合同金额18.47万元，占政府采购支出总额的100.00%，其中：授予小微企业合同金额17.81万元，占政府采购支出总额的96.43%。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2,009.16平方米，价值233.25万元。车辆6辆，价值119.75万元，其中：副部（省）级及以上领导用车0辆、主要负责人用车0辆、机要通信用车0辆、应急保障用车0辆、执法执勤用车0辆、特种专业技术用车1辆、离退休干部服务用车0辆、其他用车5辆，其他用车主要是：项目资金购置的物流园物流配送车辆。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5,852.29万元，实际执行总额4,633.30万元；预算绩效评价项目7个，全年预算数845.10万元，全年执行数831.06万元。预算绩效管理取得的成效：1.资金使用效益提升。2.预算管理精细化程度提高。3.责任约束机制强化。4.资源配置更优化5.透明度和公信力增强。发现的问题及原因：1.绩效目标设定不科学。部分项目绩效目标模糊、笼统，与实际工作脱节。2.绩效填报人员对项目理解能力不高，导致部分项目目标与结果完成不明显。原因是：制度体系不完善；技术支撑不足等。下一步改进措施：1.深化绩效目标管理，提升科学性和精准性。2.强化全过程绩效评价，实现动态管理。建立覆盖预算编制、执行、结算全流程的评价机制，重点加强事中评价，对偏离绩效目标的项目及时预警并督促整改。3.加强能力建设，夯实基础。多参加财政局组织的培训，提升绩效专业能力。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r>
      <w:t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4,633.30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4,152.65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3,362.41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1,391.93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目标1：全年基本支出预算保障单位的正常运转。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目标2：加强招商引资工作。在原有招商方式的基础上，更加注重“精准招商”，有的放矢开展招商工作。同时采用产业链招商、网络媒介招商、以商招商、中介招商等多种形式开展招商。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目标3：加强商务管理，提升物流园区商业氛围，完成物流园区项目建设。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目标4：积极推进电子商务工作，培育扶持线上线下电商企业。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年完成规上工业增加值1984万元，同比增长11.8%；完成招商引资到位资金42亿元，同比增长6%：完成全口径社会消费品零售总额3.5亿元，同比增长11.8%，完成限额以上社会消费品零售总额0.72亿元，同比增长20%；完成外贸进出口总额1500万元,同比增长133.93%。签约项目3个，签约总金额2.05亿元。</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全年签约项目数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社会消费品零售总额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塔城地区任务分配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进出口总额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塔城地区任务分配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规模以上工业增加值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&gt;=0.30亿元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塔城地区任务分配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培育升规企业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塔城地区任务分配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招商引资到位资金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塔城地区任务分配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促进消费市场发展专项资金（政府发放电子券）</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政府发放消费券，为更好释放消费潜力，活跃消费市场，充分发挥消费券“扩内需、促消费、稳增长”的积极作用,进一步激发市场活力，促进消费回补。全年完成数量指标：面值400元消费券补贴100元发放数量≧3241张；面值300元消费券补贴100元发放数量≧16400张；面值200元消费券补贴60元发放数量≧19000张；面值200元消费券补贴50元发放数量≧5211张；面值100元消费券补贴30元发放数量≧5000张；面值100元消费券补贴25元发放数量≧5952张；面值50元消费券补贴10元发放数量≧16000张；享受5000元购房补贴人数≧11人；享受3000元购车补贴人数≧26人。经济成本指标：面值400元消费券补贴100元补贴成本≦32.41万元；面值300元消费券补贴100元补贴成本≦164万元；面值200元消费券补贴60元补贴成本≦114万元；面值200元消费券补贴50元补贴成本≦26.06万元；面值100元消费券补贴30元补贴成本≦15万元；面值100元消费券补贴25元补贴成本≦14.88万元；面值50元消费券补贴10元补贴成本≦16万元，购房补贴成本5.5万元；购车补贴成本4.8万元。通过政府扶持引导，引导市民广泛参与，激发我县消费者购物热情，让消费者得到实惠，推动全县消费市场全面复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政府发放消费券项目预算资金为392.65万元，截</w:t>
            </w:r>
            <w:r>
              <w:rPr>
                <w:rFonts w:hint="eastAsia" w:ascii="宋体" w:hAnsi="宋体"/>
                <w:sz w:val="16"/>
                <w:lang w:val="en-US" w:eastAsia="zh-CN"/>
              </w:rPr>
              <w:t>至</w:t>
            </w:r>
            <w:r>
              <w:rPr>
                <w:rFonts w:ascii="宋体" w:hAnsi="宋体" w:eastAsia="宋体"/>
                <w:sz w:val="16"/>
              </w:rPr>
              <w:t>2024年12月31日，已经支付392.65万元，项目按计划正常实行，已经完成了面值400元消费券补贴100元发放数量3241张；面值300元消费券补贴100元发放数量16400张；面值200元消费券补贴60元发放数量19000张；面值200元消费券补贴50元发放数量5211张；面值100元消费券补贴30元发放数量5000张；面值100元消费券补贴25元发放数量5952张；面值50元消费券补贴10元发放数量16000张；享受5000元购房补贴人数11人；享受3000元购车补贴人数26人。通过政府扶持引导，引导市民广泛参与，激发我县消费者购物热情，让消费者得到实惠，推动全县消费市场全面复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面值400元消费券补贴100元发放数量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&gt;=3241张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面值300元消费券补贴100元发放数量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&gt;=16400张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面值200元消费券补贴60元发放数量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面值200元消费券补贴50元发放数量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&gt;=5211张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5211张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面值100元消费券补贴30元发放数量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面值100元消费券补贴25元发放数量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&gt;=5952张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5952张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面值50元消费券补贴10元发放数量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享受5000元购房补贴人数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享受3000元购车补贴人数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资金发放资金准确率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面值400元消费券补贴100元补贴成本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面值300元消费券补贴100元补贴成本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面值200元消费券补贴60元补贴成本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面值200元消费券补贴50元补贴金额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面值100元消费券补贴30元补贴成本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面值100元消费券补贴25元补贴成本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面值50元消费券补贴10元补贴成本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购房补贴成本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购车补贴成本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进一步激发市场活力，促进消费回补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逐步显现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逐步显现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激发消费者购物热情，从而推动全县消费市场全面复苏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逐步显现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逐步显现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消费者满意度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升规升限入统企业奖励资金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持“限上企业抓增长、上限企业抓入库、近限企业抓培育、新建企业抓跟踪”的原则，按照“查漏纳新一批、挖潜提升一批、引进发展一批、扶持壮大一批”的思路，为充分发挥商贸企业对经济社会发展的促进作用，积极培育激活经济发展新动能，做大做强商贸流通产业，确保地区消费品市场高效运行、高质量发展，升限入统规模以上工业企业2家，奖励资金30万元；年主营业务收入在500万元以上零售业企业奖励15万元，申报2家；年主营业务收入在200万元以上餐饮业升限奖励标准8万元的标准，我县申报餐饮企业5家，以上资金资金地区和县分别承担50%，奖励资金为65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升规升限入统企业奖励资金预算资金21.4万元，</w:t>
            </w:r>
            <w:r>
              <w:rPr>
                <w:rFonts w:hint="eastAsia" w:ascii="宋体" w:hAnsi="宋体"/>
                <w:sz w:val="16"/>
                <w:lang w:eastAsia="zh-CN"/>
              </w:rPr>
              <w:t>截至</w:t>
            </w:r>
            <w:r>
              <w:rPr>
                <w:rFonts w:ascii="宋体" w:hAnsi="宋体" w:eastAsia="宋体"/>
                <w:sz w:val="16"/>
              </w:rPr>
              <w:t>2024年12月31日，已经支付21.4万元，项目按照计划正常实行，已经完成了奖励绿色制造体系建设单位1家，实际完成1家，达到了提升企业绿色服务发展意识和工业绿色发展水平，达到了无污染，零排放的绿色、环保的综合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规模以上工业企业数量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升限入统零售业企业数量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升限入统餐饮业企业数量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升限入统规模以上工业企业奖励资金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升限入统零售业企业奖励资金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升限入统餐饮业个体工商户3名奖励资金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充分发挥商贸企业对经济社会发展的促进作用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确保地区消费品市场高效运行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小升规企业奖励资金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持“限上企业抓增长、上限企业抓入库、近限企业抓培育、新建企业抓跟踪”的原则，按照“查漏纳新一批、挖潜提升一批、引进发展一批、扶持壮大一批”的思路，为充分发挥商贸企业对经济社会发展的促进作用，积极培育激活经济发展新动能，做大做强商贸流通产业，确保地区消费品市场高效运行、高质量发展。升限入统规模以上工业企业1家，奖励资金15万元。奖励给新疆塔牧巴什拜羊有限责任公司。通过实施该项目，达到充分发挥商贸企业对经济社会发展的促进作用，确保地区消费品市场高效运行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小升规企业奖励资金项目预算资金15万元，</w:t>
            </w:r>
            <w:r>
              <w:rPr>
                <w:rFonts w:hint="eastAsia" w:ascii="宋体" w:hAnsi="宋体"/>
                <w:sz w:val="16"/>
                <w:lang w:eastAsia="zh-CN"/>
              </w:rPr>
              <w:t>截至</w:t>
            </w:r>
            <w:r>
              <w:rPr>
                <w:rFonts w:ascii="宋体" w:hAnsi="宋体" w:eastAsia="宋体"/>
                <w:sz w:val="16"/>
              </w:rPr>
              <w:t>2024年12月31日，已经支付15万元，项目按照计划正常实行，已经完成了小升规企业1家，实际完成1家，该项目的实施能够充分发挥商贸企业对经济社会发展的促进作用，积极培育激活经济发展新动能，做大做强商贸流通产业，从而达到确保地区消费品市场高效运行、高质量发展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小升规企业数量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充分发挥商贸企业对经济社会发展的促进作用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确保地区消费品市场高效运行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招商引资工作经费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开展招商引资工作，产生引入外部资金，为裕民县的基础设施建设、企业扩张等提供资金支持，直接拉动经济增长；带动产业发展，新的投资项目能带动上下游相关产业发展，形成产业集群和产业链，提升县域产业整体竞争力，促进经济多元化；引入先进技术，外来企业通常带来先进的生产技术、管理经验和创新理念，有助于本地企业学习借鉴，提升技术水平和创新能力；促进人才聚集，招商引资项目吸引各类专业人才流入，为地区发展提供智力支持，形成人才洼地效应，进一步推动技术创新和产业升级；增加就业机会。全年完成疆内外出访人数大于等于44人、完成疆内外接待人数大于等于245人；全年完成接待客商接待费小于等于6.73万元、差旅费小于等于25.84万元、其他商品和服务支出5.4万元，开展</w:t>
            </w:r>
            <w:r>
              <w:rPr>
                <w:rFonts w:hint="eastAsia" w:ascii="宋体" w:hAnsi="宋体"/>
                <w:sz w:val="16"/>
                <w:lang w:eastAsia="zh-CN"/>
              </w:rPr>
              <w:t>招</w:t>
            </w:r>
            <w:r>
              <w:rPr>
                <w:rFonts w:ascii="宋体" w:hAnsi="宋体" w:eastAsia="宋体"/>
                <w:sz w:val="16"/>
              </w:rPr>
              <w:t>商引资工作，从而推动裕民县域经济高质量发展，有效提升招商宣传点知晓率、普及率。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招</w:t>
            </w:r>
            <w:r>
              <w:rPr>
                <w:rFonts w:ascii="宋体" w:hAnsi="宋体" w:eastAsia="宋体"/>
                <w:sz w:val="16"/>
              </w:rPr>
              <w:t>商引资专项工作经费预算资金37.97万元，</w:t>
            </w:r>
            <w:r>
              <w:rPr>
                <w:rFonts w:hint="eastAsia" w:ascii="宋体" w:hAnsi="宋体"/>
                <w:sz w:val="16"/>
                <w:lang w:eastAsia="zh-CN"/>
              </w:rPr>
              <w:t>截至</w:t>
            </w:r>
            <w:r>
              <w:rPr>
                <w:rFonts w:ascii="宋体" w:hAnsi="宋体" w:eastAsia="宋体"/>
                <w:sz w:val="16"/>
              </w:rPr>
              <w:t>2024年12月31日，已经支付37.97万元，项目按照计划正常实行，已经完成了数量指标疆内外出访人数目标值44人，实际完成44人；疆内外接待人数目标值245人，实际完成245人，通过开展</w:t>
            </w:r>
            <w:bookmarkStart w:id="0" w:name="_GoBack"/>
            <w:bookmarkEnd w:id="0"/>
            <w:r>
              <w:rPr>
                <w:rFonts w:hint="eastAsia" w:ascii="宋体" w:hAnsi="宋体"/>
                <w:sz w:val="16"/>
                <w:lang w:eastAsia="zh-CN"/>
              </w:rPr>
              <w:t>招</w:t>
            </w:r>
            <w:r>
              <w:rPr>
                <w:rFonts w:ascii="宋体" w:hAnsi="宋体" w:eastAsia="宋体"/>
                <w:sz w:val="16"/>
              </w:rPr>
              <w:t>商引资工作，产生引入外部资金，为裕民县的基础设施建设、企业扩张等提供资金支持，直接拉动经济增长；带动产业发展，新的投资项目能带动上下游相关产业发展，形成产业集群和产业链，提升县域产业整体竞争力，促进经济多元化；引入先进技术，外来企业通常带来先进的生产技术、管理经验和创新理念，有助于本地企业学习借鉴，提升技术水平和创新能力；促进人才聚集，</w:t>
            </w:r>
            <w:r>
              <w:rPr>
                <w:rFonts w:hint="eastAsia" w:ascii="宋体" w:hAnsi="宋体"/>
                <w:sz w:val="16"/>
                <w:lang w:eastAsia="zh-CN"/>
              </w:rPr>
              <w:t>招</w:t>
            </w:r>
            <w:r>
              <w:rPr>
                <w:rFonts w:ascii="宋体" w:hAnsi="宋体" w:eastAsia="宋体"/>
                <w:sz w:val="16"/>
              </w:rPr>
              <w:t>商引资项目吸引各类专业人才流入，为地区发展提供智力支持，形成人才洼地效应，进一步推动技术创新和产业升级；增加就业机会，从而达到推动裕民县域经济高质量发展及招商政策、提高宣传点知晓率、普及率的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疆内外出访人数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疆内外接待人数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公务接待成本费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其他商品和服务支出成本费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推动裕民县域经济高质量发展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招商政策、宣传点知晓率、普及率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疆内外来访客商满意度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特色产业技术创新及技术集成研究团队建设项目</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具有丰富的农牧业资源，巴什拜羊、红花作为特色产业，在肉用羊和红花籽油领域具有重要地位。通过与新疆农业大学、新疆农科院经济作物研究所合作，旨在交其科技成果优势转化为经济优势，服务于区域产业的发展。以肉用低脂肪、瘦肉型巴什拜羊的定向选育为核心及红花产业种植品种混杂、品种退化、籽粕油脂冷榨冷炼出油率低、油脂品质低、红花及副产物低效利用等关键问题，拟从品种选育与栽培技术研究、冷榨冷链技术改进、红花及副产物高效利用技术等方面开展研究。新疆谢利盖畜牧有限责任公司上级补助资金50万元，主要用于种羊收购、基础设施建设、器材采购、劳务费和育种业务费等。新疆天鼎红花油有限公司上级补助资金110万元，主要用于引进人才方面。两项项目总投入160万元，引进疆内外高层人才13人，奖励2家企业。通过实施该项目，带动两大支柱产业绿色健康发展及增加农牧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特色产业技术创新及技术集成研究团队建设项目预算资金160万元，</w:t>
            </w:r>
            <w:r>
              <w:rPr>
                <w:rFonts w:hint="eastAsia" w:ascii="宋体" w:hAnsi="宋体"/>
                <w:sz w:val="16"/>
                <w:lang w:eastAsia="zh-CN"/>
              </w:rPr>
              <w:t>截至</w:t>
            </w:r>
            <w:r>
              <w:rPr>
                <w:rFonts w:ascii="宋体" w:hAnsi="宋体" w:eastAsia="宋体"/>
                <w:sz w:val="16"/>
              </w:rPr>
              <w:t>2024年12月31日，已经支付160万元，项目按照计划正常实行，已经完成了发放企业数2家，实际完成2家，引进人才数13人，实际完成13人，达到了带动两大支柱产业绿色健康发展，增加农牧民收入。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新疆天鼎红花油有限公司人才引进资金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新疆巴什拜羊畜牧有限责任公司人才引进建设资金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带动两大支柱产业绿色健康发展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增加农牧民收入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裕民县2021年国家级电子商务进农村综合示范县项目</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8.94</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104.2万元，用于积极组织企业开展产销对接活动。推动农村商贸流通企业转型升级，推广“线上订购服务到家”模式，打造“旅游+农产品+电商”新模式，助力乡村振兴。培育农村电商创业带头人，确保培训人次不少于100人次；开展线下线上品牌营销活动不少于4次。通过项目的全年实施，拓宽农牧民农特产品的销售渠道，加快推进全县经济转型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裕民县电子商务进农村综合示范县项目预算资金为104.2万元，</w:t>
            </w:r>
            <w:r>
              <w:rPr>
                <w:rFonts w:hint="eastAsia" w:ascii="宋体" w:hAnsi="宋体"/>
                <w:sz w:val="16"/>
                <w:lang w:eastAsia="zh-CN"/>
              </w:rPr>
              <w:t>截至</w:t>
            </w:r>
            <w:r>
              <w:rPr>
                <w:rFonts w:ascii="宋体" w:hAnsi="宋体" w:eastAsia="宋体"/>
                <w:sz w:val="16"/>
              </w:rPr>
              <w:t>2024年12月31日，已经支付93.2万元，项目按计划正常实行，已经完成了评审第三方机构数量目标值1家，已完成1家。资金到位及时率（%）目标值为100%，实际完成率100%。项目完成时间目标值2025年12月25日，已完成值2025年12月25日。根据合同约定已支付完毕项目资金。该项目严格按照计划实施，并有效保障了绩效自评工作的顺利开展。满意度指标中第三访机构满意度目标值为等于大于90%，实际满意度90%。通过实施该项目达到拓宽农牧民农特产品的销售渠道,加快推进全县经济转型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评审第三方机构数量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未完成原因：根据合同约定项目实施结束时间2025年4月，因合同期限未到期国家级资质部门还没验收。下一步整改：合同期间内完成验收工作。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到位资金及时率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评审第三方服务成本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未完成原因：根据合同约定项目实施完成时间2025年4月，合同期间内支付完成。下一步整改：合同期间内完成工作。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拓宽农牧民农特产品的销售渠道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有所拓宽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有所拓宽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加快推进全县经济转型发展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第三访机构满意度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裕民县农副产品加工企业政府贴息</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深入贯彻党的二十大和中央经济会议精神，深化落实习近平总书记在企业和专家座谈会的讲话精神，更好发挥县级财政在企业发展过程中的助力作用，减轻企业运营成本，推动企业高质量发展，按照自治区“八大产业集群”建设要求，对符合裕民县产业发展定位的“一花一羊”、粮油、绿色果蔬加工等农产品加工加工企业从金融机构获得的融资贷款在限定时间内所发生的利息进行政府贴息。政府贴息5家企业。实施该项目，减轻企业运营成本，从而达到推动企业高质量发展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裕民县农副产品加工企业政府贴息项目预算资金为113.88万元，</w:t>
            </w:r>
            <w:r>
              <w:rPr>
                <w:rFonts w:hint="eastAsia" w:ascii="宋体" w:hAnsi="宋体"/>
                <w:sz w:val="16"/>
                <w:lang w:eastAsia="zh-CN"/>
              </w:rPr>
              <w:t>截至</w:t>
            </w:r>
            <w:r>
              <w:rPr>
                <w:rFonts w:ascii="宋体" w:hAnsi="宋体" w:eastAsia="宋体"/>
                <w:sz w:val="16"/>
              </w:rPr>
              <w:t>2024年12月31日，已经支付113.84万元，项目按计划正常实行，已经完成了政府贴息企业数量5家，实际完成5家。该项目严格按照计划实施，并有效保障了绩效自评工作的顺利开展。该项目的实施能够缓解企业压力，增强市场竞争力，促进新兴产业发展，支持传统产业转型，保障现有就业岗位，创造新的就业机会，扶持落后县域企业，推动特色产业发展等方面具有重要的必要性，减轻企业运营成本，从而达到推动企业高质量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贴息企业数量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贴息资金发放准确率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贴息支付及时率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裕民县汇河农业发展有限公司政府贴息成本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新疆谢利盖畜牧有限责任公司政府贴息成本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裕民县众品农商商贸有限公司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新疆金诚恒达商贸有限公司政府贴息成本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新疆塔牧巴什拜羊有限责任公司政府贴息成本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推动企业高质量发展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4B1F47"/>
    <w:rsid w:val="09A729D8"/>
    <w:rsid w:val="0A3C58E8"/>
    <w:rsid w:val="0A7B4867"/>
    <w:rsid w:val="0B8C3ECC"/>
    <w:rsid w:val="0C3613A3"/>
    <w:rsid w:val="0C7227A7"/>
    <w:rsid w:val="0DCA6EF7"/>
    <w:rsid w:val="0E4B1576"/>
    <w:rsid w:val="0EA04331"/>
    <w:rsid w:val="0F9811B3"/>
    <w:rsid w:val="11E15093"/>
    <w:rsid w:val="120E0809"/>
    <w:rsid w:val="16790BD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90280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E965CF"/>
    <w:rsid w:val="4F2B7EA6"/>
    <w:rsid w:val="4F3F074E"/>
    <w:rsid w:val="50DB5F45"/>
    <w:rsid w:val="52F92565"/>
    <w:rsid w:val="543D17CB"/>
    <w:rsid w:val="55DA564E"/>
    <w:rsid w:val="56E07045"/>
    <w:rsid w:val="583059FA"/>
    <w:rsid w:val="587E6212"/>
    <w:rsid w:val="58B13A79"/>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3</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2025-09-30T05:01:10Z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