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napToGrid w:val="0"/>
        <w:spacing w:line="540" w:lineRule="exact"/>
        <w:ind w:left="993"/>
        <w:rPr>
          <w:rFonts w:hint="eastAsia" w:ascii="黑体" w:hAnsi="黑体" w:eastAsia="黑体" w:cs="宋体"/>
          <w:bCs/>
          <w:color w:val="333333"/>
          <w:sz w:val="32"/>
          <w:szCs w:val="32"/>
          <w:lang w:bidi="ar"/>
        </w:rPr>
      </w:pPr>
      <w:r>
        <w:rPr>
          <w:rStyle w:val="7"/>
          <w:rFonts w:hint="eastAsia" w:ascii="楷体" w:hAnsi="楷体" w:eastAsia="楷体" w:cs="楷体"/>
          <w:b w:val="0"/>
          <w:spacing w:val="-4"/>
          <w:sz w:val="32"/>
          <w:szCs w:val="32"/>
        </w:rPr>
        <w:t>(</w:t>
      </w:r>
      <w:bookmarkStart w:id="0" w:name="_Hlk199153249"/>
      <w:r>
        <w:rPr>
          <w:rStyle w:val="7"/>
          <w:rFonts w:hint="eastAsia" w:ascii="楷体" w:hAnsi="楷体" w:eastAsia="楷体" w:cs="楷体"/>
          <w:b w:val="0"/>
          <w:spacing w:val="-4"/>
          <w:sz w:val="32"/>
          <w:szCs w:val="32"/>
        </w:rPr>
        <w:t>一)</w:t>
      </w:r>
      <w:bookmarkEnd w:id="0"/>
      <w:r>
        <w:rPr>
          <w:rFonts w:hint="eastAsia" w:ascii="黑体" w:hAnsi="黑体" w:eastAsia="黑体" w:cs="宋体"/>
          <w:bCs/>
          <w:color w:val="333333"/>
          <w:sz w:val="32"/>
          <w:szCs w:val="32"/>
          <w:lang w:bidi="ar"/>
        </w:rPr>
        <w:t>部门单位基本情况: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（1）负责党的路线、方针、政策的贯彻落实。</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（2）负责贯彻落实县委、县政府作出的各项重要决议、决定和工作部署。</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（3）抓好基层组织的建设，切实发挥基层党组织的战斗堡垒作用和党员先锋模范作用。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（4）贯彻党的民族政策和</w:t>
      </w:r>
      <w:r>
        <w:rPr>
          <w:rFonts w:hint="eastAsia" w:ascii="仿宋_GB2312" w:hAnsi="宋体" w:eastAsia="仿宋_GB2312"/>
          <w:b/>
          <w:sz w:val="32"/>
          <w:szCs w:val="32"/>
          <w:lang w:eastAsia="zh-CN"/>
        </w:rPr>
        <w:t>ZJ</w:t>
      </w:r>
      <w:r>
        <w:rPr>
          <w:rFonts w:hint="eastAsia" w:ascii="仿宋_GB2312" w:hAnsi="宋体" w:eastAsia="仿宋_GB2312"/>
          <w:b/>
          <w:sz w:val="32"/>
          <w:szCs w:val="32"/>
        </w:rPr>
        <w:t>政策，坚决打击民族分裂和非法</w:t>
      </w:r>
      <w:r>
        <w:rPr>
          <w:rFonts w:hint="eastAsia" w:ascii="仿宋_GB2312" w:hAnsi="宋体" w:eastAsia="仿宋_GB2312"/>
          <w:b/>
          <w:sz w:val="32"/>
          <w:szCs w:val="32"/>
          <w:lang w:eastAsia="zh-CN"/>
        </w:rPr>
        <w:t>ZJ</w:t>
      </w:r>
      <w:r>
        <w:rPr>
          <w:rFonts w:hint="eastAsia" w:ascii="仿宋_GB2312" w:hAnsi="宋体" w:eastAsia="仿宋_GB2312"/>
          <w:b/>
          <w:sz w:val="32"/>
          <w:szCs w:val="32"/>
        </w:rPr>
        <w:t>活动，维护国家统一，民族团结，社会稳定。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（5）加强社会综合治理，加强法制教育，依法治乡，同时确保党对武装工作的领导。</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（6）加强精神文明建设，为经济建设和各项事业的发展提供精神动力和智力支持。</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（7）抓好工、青、妇工作，推动群众团体事业不断发展。（8）抓好党风廉政建设，贯彻执行县纪委各项决议和决定，做好全镇的</w:t>
      </w:r>
      <w:r>
        <w:rPr>
          <w:rFonts w:hint="eastAsia" w:ascii="仿宋_GB2312" w:hAnsi="宋体" w:eastAsia="仿宋_GB2312"/>
          <w:b/>
          <w:sz w:val="32"/>
          <w:szCs w:val="32"/>
          <w:lang w:val="en-US" w:eastAsia="zh-CN"/>
        </w:rPr>
        <w:t>JJJC</w:t>
      </w:r>
      <w:r>
        <w:rPr>
          <w:rFonts w:hint="eastAsia" w:ascii="仿宋_GB2312" w:hAnsi="宋体" w:eastAsia="仿宋_GB2312"/>
          <w:b/>
          <w:sz w:val="32"/>
          <w:szCs w:val="32"/>
        </w:rPr>
        <w:t>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（9）负责制定本镇长期和近期的社会、经济、文化发展计划。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（10）大力发展科技、文化、教育、卫生、</w:t>
      </w:r>
      <w:r>
        <w:rPr>
          <w:rFonts w:hint="eastAsia" w:ascii="仿宋_GB2312" w:hAnsi="宋体" w:eastAsia="仿宋_GB2312"/>
          <w:b/>
          <w:sz w:val="32"/>
          <w:szCs w:val="32"/>
          <w:lang w:eastAsia="zh-CN"/>
        </w:rPr>
        <w:t>JHSY</w:t>
      </w:r>
      <w:r>
        <w:rPr>
          <w:rFonts w:hint="eastAsia" w:ascii="仿宋_GB2312" w:hAnsi="宋体" w:eastAsia="仿宋_GB2312"/>
          <w:b/>
          <w:sz w:val="32"/>
          <w:szCs w:val="32"/>
        </w:rPr>
        <w:t>等事业，不断提高居民的思想道德素质、科学文化素质和生活质量。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（11）抓好基层政权建设，保证镇政府及社区各项工作正常开展。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（12）做好财政工作,管好、用好财政资金。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（13）认真接受人大主席团的监督，并负责做好工作报告。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（14）完成县委、县政府交办的其他各项工作。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裕民县哈拉布拉镇人民政府包括本级机关无直属事业单位，机关内设6个处室，裕民县哈拉布拉镇公共文化服务中心、裕民县哈拉布拉镇村镇建设发展中心、裕民县哈拉布拉镇便民服务中心、裕民县哈拉布拉镇综治和网格化服务中心、裕民县哈拉布拉镇社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哈拉布拉镇人民政府编制数65，实有人数126人，其中：在职73人，增加5人；退休53人，增加1人；离休0人，增加0人。</w:t>
      </w:r>
      <w:bookmarkStart w:id="1" w:name="_Hlk43849111"/>
      <w:bookmarkEnd w:id="1"/>
    </w:p>
    <w:p>
      <w:pPr>
        <w:spacing w:line="600" w:lineRule="exact"/>
        <w:ind w:firstLine="992" w:firstLineChars="318"/>
        <w:jc w:val="left"/>
        <w:rPr>
          <w:rFonts w:hint="eastAsia" w:ascii="黑体" w:hAnsi="黑体" w:eastAsia="黑体" w:cs="宋体"/>
          <w:bCs/>
          <w:color w:val="333333"/>
          <w:sz w:val="32"/>
          <w:szCs w:val="32"/>
          <w:lang w:bidi="ar"/>
        </w:rPr>
      </w:pPr>
      <w:r>
        <w:rPr>
          <w:rStyle w:val="7"/>
          <w:rFonts w:hint="eastAsia" w:ascii="楷体" w:hAnsi="楷体" w:eastAsia="楷体" w:cs="楷体"/>
          <w:b w:val="0"/>
          <w:spacing w:val="-4"/>
          <w:sz w:val="32"/>
          <w:szCs w:val="32"/>
        </w:rPr>
        <w:t>(二)</w:t>
      </w:r>
      <w:r>
        <w:rPr>
          <w:rFonts w:hint="eastAsia" w:ascii="黑体" w:hAnsi="黑体" w:eastAsia="黑体" w:cs="宋体"/>
          <w:bCs/>
          <w:color w:val="333333"/>
          <w:sz w:val="32"/>
          <w:szCs w:val="32"/>
          <w:lang w:bidi="ar"/>
        </w:rPr>
        <w:t>部门单位年度重点工作：</w:t>
      </w:r>
    </w:p>
    <w:p>
      <w:pPr>
        <w:spacing w:line="600" w:lineRule="exact"/>
        <w:ind w:left="1273" w:leftChars="606" w:firstLine="2"/>
        <w:jc w:val="left"/>
        <w:rPr>
          <w:rFonts w:hint="eastAsia" w:ascii="仿宋_GB2312" w:hAnsi="宋体" w:eastAsia="仿宋_GB2312"/>
          <w:b/>
          <w:sz w:val="32"/>
          <w:szCs w:val="32"/>
        </w:rPr>
      </w:pPr>
      <w:r>
        <w:rPr>
          <w:rFonts w:hint="eastAsia" w:ascii="仿宋_GB2312" w:hAnsi="宋体" w:eastAsia="仿宋_GB2312"/>
          <w:b/>
          <w:sz w:val="32"/>
          <w:szCs w:val="32"/>
        </w:rPr>
        <w:t>1.年度总体目标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目标1、保障人员工资及时发放，日常办公活动正常开展；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目标2、负责本行政区域内的民政、</w:t>
      </w:r>
      <w:r>
        <w:rPr>
          <w:rFonts w:hint="eastAsia" w:ascii="仿宋_GB2312" w:hAnsi="宋体" w:eastAsia="仿宋_GB2312"/>
          <w:b/>
          <w:sz w:val="32"/>
          <w:szCs w:val="32"/>
          <w:lang w:eastAsia="zh-CN"/>
        </w:rPr>
        <w:t>JHSY</w:t>
      </w:r>
      <w:r>
        <w:rPr>
          <w:rFonts w:hint="eastAsia" w:ascii="仿宋_GB2312" w:hAnsi="宋体" w:eastAsia="仿宋_GB2312"/>
          <w:b/>
          <w:sz w:val="32"/>
          <w:szCs w:val="32"/>
        </w:rPr>
        <w:t>、文化教育、卫生、体育等社会公益事业的综合性工作，调解和处理民事纠纷，打击刑事犯罪维护社会稳定，切实提高镇镇政府行政运行能力；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目标3、制定并组织实施镇镇建设规划，提升镇政府基层政权建设，提升群众幸福指数；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目标4、严格按照财务制度计划组织本级财政收入和支出，完成资金进度支付进度，管好财政资金，增强财政实力；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目标5、为提升哈拉布拉镇政府基层政权建设，彻底改善社区村貌，完善村级基础设施建设，提升群众幸福指数，切实推进各项目支出正常开展。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（一）坚定政治信仰。镇党委、政府始终坚持把党的政治建 设摆在首位，将习近平总书记重要讲话重要指示精神列为“第一 议题”，将上级党委、政府重要会议、文件精神列为镇党委、政 府工作会议重要学习内容，持续在学懂弄通做实上下功夫，不断 增强“四个意识”、坚定“四个自信”、做到“两个维护”，不断提高政治判断力、政治领悟力、政治执行力。党政班子成员坚 持把政治标准和政治要求贯穿党的思想作风建设始终，不断推进 学习贯彻习近平新时代中国特色社会主义思想往深里走、往实里走、往心里走，真正做到学深悟透、融会贯通、真信笃行，补足精神之钙、筑牢信仰之基，持之以恒坚定对中国特色社会主义的信念，更加自觉地在上级党委、政府的坚强领导下全力做好基层各项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（二）坚持政治领导。镇党委、政府坚定拥护“两个确立”，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充分发挥党政班子领导核心作用，始终坚持正确政治方向，落实 全面从严治党要求，自觉维护班子团结统一，自觉在思想上、政治上、行动上同以习近平同志为核心的党中央保持高度一致。认真贯彻执行民主集中制，定期召开党委、政府会议，严格落实末位表态制和集体酝酿讨论重大事项制度，党政班子成员积极发表意见，在作出重大决策部署前，广泛征求各方意见建议，确保决策符合哈镇实际。严格执行请示报告制度，自觉向县委、</w:t>
      </w:r>
      <w:r>
        <w:rPr>
          <w:rFonts w:hint="eastAsia" w:ascii="仿宋_GB2312" w:hAnsi="宋体" w:eastAsia="仿宋_GB2312"/>
          <w:b/>
          <w:sz w:val="32"/>
          <w:szCs w:val="32"/>
          <w:lang w:eastAsia="zh-CN"/>
        </w:rPr>
        <w:t>县</w:t>
      </w:r>
      <w:bookmarkStart w:id="2" w:name="_GoBack"/>
      <w:bookmarkEnd w:id="2"/>
      <w:r>
        <w:rPr>
          <w:rFonts w:hint="eastAsia" w:ascii="仿宋_GB2312" w:hAnsi="宋体" w:eastAsia="仿宋_GB2312"/>
          <w:b/>
          <w:sz w:val="32"/>
          <w:szCs w:val="32"/>
        </w:rPr>
        <w:t xml:space="preserve">政府报告重大工作和重大情况，落实“党委领导、政府主导、人大监督、 政协支持、部门各负其责、社会广泛参与、人民群众为主体”的领导体制和工作机制，进一步增强政治凝聚力、强化政治引领力。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提升政治能力。镇党委、政府始终牢记党的初心使命，把群众利益放在首位，把精力和心思用在扎实做好社会稳定、安全生产等重点工作大局上，用在破难题、克难关、着力解决居民群众最关心最直接最现实的利益问题上，引导全体党员、干部坚持以人民为中心的发展思想，树立正确政绩观，把民生实事作为政绩考核的重要内容，把民生民意作为评价干部履职的重要方面，把群众工作能力作为考察干部的重要标准。扎实开展“为民服务质量提升年”活动，大力推进民生工程，持续开展大入户大走访大排查活动，始终保持党同人民群众的血肉联系。</w:t>
      </w:r>
    </w:p>
    <w:p>
      <w:pPr>
        <w:snapToGrid w:val="0"/>
        <w:spacing w:line="540" w:lineRule="exact"/>
        <w:ind w:left="993"/>
        <w:rPr>
          <w:rFonts w:hint="eastAsia" w:ascii="黑体" w:hAnsi="黑体" w:eastAsia="黑体" w:cs="宋体"/>
          <w:b/>
          <w:color w:val="333333"/>
          <w:sz w:val="32"/>
          <w:szCs w:val="32"/>
          <w:lang w:bidi="ar"/>
        </w:rPr>
      </w:pPr>
      <w:r>
        <w:rPr>
          <w:rStyle w:val="7"/>
          <w:rFonts w:hint="eastAsia" w:ascii="楷体" w:hAnsi="楷体" w:eastAsia="楷体" w:cs="楷体"/>
          <w:b w:val="0"/>
          <w:spacing w:val="-4"/>
          <w:sz w:val="32"/>
          <w:szCs w:val="32"/>
        </w:rPr>
        <w:t>(三)</w:t>
      </w:r>
      <w:r>
        <w:rPr>
          <w:rFonts w:hint="eastAsia" w:ascii="黑体" w:hAnsi="黑体" w:eastAsia="黑体" w:cs="宋体"/>
          <w:bCs/>
          <w:color w:val="333333"/>
          <w:sz w:val="32"/>
          <w:szCs w:val="32"/>
          <w:lang w:bidi="ar"/>
        </w:rPr>
        <w:t>部门单位整体预算规模及安排情况：</w:t>
      </w:r>
    </w:p>
    <w:p>
      <w:pPr>
        <w:spacing w:line="600" w:lineRule="exact"/>
        <w:ind w:left="1273" w:leftChars="606" w:firstLine="3" w:firstLineChars="1"/>
        <w:jc w:val="left"/>
        <w:rPr>
          <w:rFonts w:hint="eastAsia" w:ascii="仿宋_GB2312" w:hAnsi="宋体" w:eastAsia="仿宋_GB2312"/>
          <w:b/>
          <w:sz w:val="32"/>
          <w:szCs w:val="32"/>
        </w:rPr>
      </w:pPr>
      <w:r>
        <w:rPr>
          <w:rFonts w:hint="eastAsia" w:ascii="仿宋_GB2312" w:hAnsi="宋体" w:eastAsia="仿宋_GB2312"/>
          <w:b/>
          <w:sz w:val="32"/>
          <w:szCs w:val="32"/>
        </w:rPr>
        <w:t>2024年哈拉布拉镇人民政府年初预算安排1734.19 万元，其中财政拨款1734.19万元，其他资金0万元，主要用于在职人员的工资、津贴、补贴、社保、绩效、公积金等以及 53名退休人员的工资、医疗费等人员保障性经费能够依规、按时、足额发放或缴纳，提升部门人员工作积极性和服务质量。同时，保障了部门全年正常运转，为部门正常履职和开展综合性事务管理提供有效支撑。年中调整123.01万元，调整后全年预算1857.2万元，预算调整率7.09%，调整预算的主要原因为人员工资调增，增加项目。</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（一）部门单位整体支出管理情况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2.预算执行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地区财政批复预算后，我单位按要求及时制定并报批部门预算支出计划，严格落实预算执行定期分析机制，靠前抓好支出执行，坚持严肃财经纪律，硬化预算约束，持续树牢厉行节约理念，严控一般性支出，努力降低行政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3.绩效管理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4.信息公开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我单位已按要求在裕民县人民政府、自治区财政厅门户网站公开部门预算信息，同步公开绩效目标表；在裕民县人民政府、自治区财政厅门户网站公开部门决算信息，同步公开自评表及自评报告。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基本支出1795.18万元，包括工资福利支出1545.21万元，商品和服务支出160.17万元，对个人和家庭的补助89.25万元，资本性支出0.55万元。其中：“三公”经费支出2.78万元，比上年减少1.66万元，主要原因是减少车辆使用频次，节约资金；会议费支出0万元，比上年增加0万元，主要原因是无会议费支出；培训费支出2.09万元，比上年增加2.09万元，主要原因是本年度培训费增加。</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2.专项资金支出情况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专项项目支出60.94万元，占总支出的3.28％，主要用于1.2024年补助地方美术馆、公共图书馆、文化馆[站]免费开放补助资金、2.2024年自治区基层组织建设资金、3.裕民县哈拉布拉镇人民政府2024年文化活动经费、4.2024年中央补助地方公共文化服务体系建设补助资金（新时代文明实践中心建设）、5.2024年自治区</w:t>
      </w:r>
      <w:r>
        <w:rPr>
          <w:rFonts w:hint="eastAsia" w:ascii="仿宋_GB2312" w:hAnsi="宋体" w:eastAsia="仿宋_GB2312"/>
          <w:b/>
          <w:sz w:val="32"/>
          <w:szCs w:val="32"/>
          <w:lang w:eastAsia="zh-CN"/>
        </w:rPr>
        <w:t>JHSY</w:t>
      </w:r>
      <w:r>
        <w:rPr>
          <w:rFonts w:hint="eastAsia" w:ascii="仿宋_GB2312" w:hAnsi="宋体" w:eastAsia="仿宋_GB2312"/>
          <w:b/>
          <w:sz w:val="32"/>
          <w:szCs w:val="32"/>
        </w:rPr>
        <w:t>补助资金、6.哈拉布拉镇人民政府2024年中央转移支付资金、7.2024年国有企业退休人员社会化管理补助资金、8.2024年自有资金-新时代文明实践站自治区示范点项目（辽宁援疆资金）、9.哈镇社区公益服务中心建设项目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3.部门单位专项组织实施情况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2024年补助地方美术馆、公共图书馆、文化馆[站]免费开放补助资金、2024年自治区基层组织建设资金、裕民县哈拉布拉镇人民政府2024年文化活动经费、2024年中央补助地方公共文化服务体系建设补助资金（新时代文明实践中心建设）、2024年自治区</w:t>
      </w:r>
      <w:r>
        <w:rPr>
          <w:rFonts w:hint="eastAsia" w:ascii="仿宋_GB2312" w:hAnsi="宋体" w:eastAsia="仿宋_GB2312"/>
          <w:b/>
          <w:sz w:val="32"/>
          <w:szCs w:val="32"/>
          <w:lang w:eastAsia="zh-CN"/>
        </w:rPr>
        <w:t>JHSY</w:t>
      </w:r>
      <w:r>
        <w:rPr>
          <w:rFonts w:hint="eastAsia" w:ascii="仿宋_GB2312" w:hAnsi="宋体" w:eastAsia="仿宋_GB2312"/>
          <w:b/>
          <w:sz w:val="32"/>
          <w:szCs w:val="32"/>
        </w:rPr>
        <w:t>补助资金、哈拉布拉镇人民政府2024年中央转移支付资金、2024年国有企业退休人员社会化管理补助资金、2024年自有资金-新时代文明实践站自治区示范点项目（辽宁援疆资金）、哈镇社区公益服务中心建设项目专项工作计划，对项目的工作分工、任务分配、资金落实、完成时限等提出了明确、具体的要求，以确保项目保质、保量、按时完成。截至2024年12月31日，完成专项9个，未完成专项0个。</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一是制订专项资金管理制度；二是各专项资金建立了专账；三是制定了项目实施方案；四是认真组织项目验收。切实保证专项资金都做到了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（2）建立专项资金专账，做到有据可依，有据可查。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（3）制定了专项项目实施方案，确保项目正常开展。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（4）认真组织专项项目验收，确保项目正常开展。</w:t>
      </w:r>
    </w:p>
    <w:p>
      <w:pPr>
        <w:numPr>
          <w:ilvl w:val="0"/>
          <w:numId w:val="1"/>
        </w:numPr>
        <w:snapToGrid w:val="0"/>
        <w:spacing w:line="540" w:lineRule="exact"/>
        <w:rPr>
          <w:rFonts w:hint="eastAsia" w:ascii="黑体" w:hAnsi="黑体" w:eastAsia="黑体" w:cs="宋体"/>
          <w:color w:val="333333"/>
          <w:sz w:val="32"/>
          <w:szCs w:val="32"/>
          <w:lang w:bidi="ar"/>
        </w:rPr>
      </w:pPr>
      <w:r>
        <w:rPr>
          <w:rFonts w:ascii="黑体" w:hAnsi="黑体" w:eastAsia="黑体" w:cs="宋体"/>
          <w:color w:val="333333"/>
          <w:sz w:val="32"/>
          <w:szCs w:val="32"/>
          <w:lang w:bidi="ar"/>
        </w:rPr>
        <w:t>部门单位整体支出绩效分析</w:t>
      </w:r>
    </w:p>
    <w:p>
      <w:pPr>
        <w:spacing w:line="600" w:lineRule="exact"/>
        <w:ind w:left="1273" w:leftChars="600" w:hanging="13" w:hangingChars="4"/>
        <w:jc w:val="left"/>
        <w:rPr>
          <w:rFonts w:hint="eastAsia" w:ascii="仿宋_GB2312" w:hAnsi="宋体" w:eastAsia="仿宋_GB2312"/>
          <w:b/>
          <w:sz w:val="32"/>
          <w:szCs w:val="32"/>
        </w:rPr>
      </w:pPr>
      <w:r>
        <w:rPr>
          <w:rFonts w:hint="eastAsia" w:ascii="仿宋_GB2312" w:hAnsi="宋体" w:eastAsia="仿宋_GB2312"/>
          <w:b/>
          <w:sz w:val="32"/>
          <w:szCs w:val="32"/>
        </w:rPr>
        <w:t>（一）预算执行情况分析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哈拉布拉镇人民政府总支出1856.11万元，预算执行率100%，其中一般公共服务支出424.76万元、文化旅游体育与传媒支出80.25万元、社会保障和就业支出268.92万元、卫生健康支出58.19万元、城乡社区支出907.65万元、农林水支出19.68万元、住房保障支出94.45万元、国有资本经营预算支出2.21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2024年，裕民县哈拉布拉镇人民政府基本支出1795.18万元，占总支出的96.72％，其中：一般公共服务支出402.75万元、文化旅游体育与传媒支出66.87万元、</w:t>
      </w:r>
      <w:r>
        <w:rPr>
          <w:rFonts w:hint="eastAsia" w:ascii="仿宋_GB2312" w:hAnsi="宋体" w:eastAsia="仿宋_GB2312"/>
          <w:b/>
          <w:sz w:val="32"/>
          <w:szCs w:val="32"/>
        </w:rPr>
        <w:tab/>
      </w:r>
      <w:r>
        <w:rPr>
          <w:rFonts w:hint="eastAsia" w:ascii="仿宋_GB2312" w:hAnsi="宋体" w:eastAsia="仿宋_GB2312"/>
          <w:b/>
          <w:sz w:val="32"/>
          <w:szCs w:val="32"/>
        </w:rPr>
        <w:t>社会保障和就业支出268.92万元、卫生健康支出55.04万元、</w:t>
      </w:r>
      <w:r>
        <w:rPr>
          <w:rFonts w:hint="eastAsia" w:ascii="仿宋_GB2312" w:hAnsi="宋体" w:eastAsia="仿宋_GB2312"/>
          <w:b/>
          <w:sz w:val="32"/>
          <w:szCs w:val="32"/>
        </w:rPr>
        <w:tab/>
      </w:r>
      <w:r>
        <w:rPr>
          <w:rFonts w:hint="eastAsia" w:ascii="仿宋_GB2312" w:hAnsi="宋体" w:eastAsia="仿宋_GB2312"/>
          <w:b/>
          <w:sz w:val="32"/>
          <w:szCs w:val="32"/>
        </w:rPr>
        <w:t>城乡社区支出907.14万元、住房保障支出94.45万元。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哈拉布拉镇人民政府项目支出60.94万元，占总支出的3.28％。其中：一般公共服务支出22万元、文化旅游体育与传媒支出13.38万元、卫生健康支出3.15万元、城乡社区支出0.51万元、农林水支出19.69万元、国有资本经营预算支出2.21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（二）部门单位整体支出绩效指标完成情况分析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年初我单位设置部门整体绩效目标中包括一级指标1个二级指标2个，三级指标7个，指标完成情况分析如下：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1.履职效能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全年举办各类文艺活动场数，指标值：12次，年中监控完成值：6次，自评完成值：12次，指标完成率100%偏差0%，偏差原因及改进措施：无偏差，指标成效分析通过开展各类文艺活动工作，有效丰富人民群众精神文化生活，达到预期效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全年开展安全生产培训次数，指标值：4次，年中监控完成值：2次，自评完成值：4次，指标完成率100%偏差0%，偏差原因及改进措施：无偏差，指标成效分析通过开展安全生产培训工作，有效提升安全意识，降低安全生产事故发生率，达到预期效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为民办理实事好事件数，指标值：100件，年中监控完成值：50件，自评完成值：100件，指标完成率100%偏差0%，偏差原因及改进措施：无偏差，指标成效分析通过完成为民办理实事好事工作，有效提升群众获得感、幸福感、安全感，达到预期效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开展各类志愿服务活动场次数，指标值：120场次，年中监控完成值：60场次，自评完成值：120场次，指标完成率100%偏差0%，偏差原因及改进措施：无偏差，指标成效分析通过开展各类志愿服务活动，有效提升群众的社会责任感和参与意识，达到预期效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全年开展安全生产检查次数，指标值：24次，年中监控完成值：12次，自评完成值：24次，指标完成率100%偏差0%，偏差原因及改进措施：无偏差，指标成效分析通过开展安全生产培训工作，有效提升安全意识，降低安全生产事故发生率，达到预期效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6：发放各类惠民补贴人数，指标值：300人，年中监控完成值：320人，自评完成值：300人，指标完成率100%偏差0%，偏差原因及改进措施：无偏差，指标成效分析通过完成各类惠民发放工作，有效提升补贴发放工作质量和效率，达到了进一步增强人民群众的获得感和幸福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活动覆盖率，指标值：95%，年中监控完成值：50%，自评完成值：95%，指标完成率100%，偏差原因及改进措施：无偏差，指标成效分析通过开展各类文艺活动工作，有效丰富人民群众精神文化生活，达到预期效果。</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评价结论</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2024年度部门整体支出绩效评价综合得分100分，评价结果为“优”。</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存在的主要问题及原因分析</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（一）绩效指标设置不够明确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我单位部分绩效指标设置存在不够精简、指标数据无法统计和指标值设置过低等问题，部分项目绩效指标值设定为定性的指标，指标设置的科学性、合理性有待进一步提高。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（二）固定资产账务管理不够细致、严谨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抽查发现，各单位固定资产账务管理普遍存在入账不及时、漏入、入账信息、金额不准确或资产台账未登记到具体使用人等问题。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（三）项目监督工作存在薄弱环节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项目实施过程中的上报、跟踪、反馈机制尚未真正形成，对各项目资金的使用、实施等监管措施仍然存在改进的空间。</w:t>
      </w:r>
    </w:p>
    <w:p>
      <w:pPr>
        <w:numPr>
          <w:ilvl w:val="0"/>
          <w:numId w:val="1"/>
        </w:numPr>
        <w:snapToGrid w:val="0"/>
        <w:spacing w:line="540" w:lineRule="exact"/>
        <w:rPr>
          <w:rFonts w:hint="eastAsia"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pStyle w:val="10"/>
        <w:spacing w:line="600" w:lineRule="exact"/>
        <w:ind w:left="1368" w:firstLine="0" w:firstLineChars="0"/>
        <w:jc w:val="left"/>
        <w:rPr>
          <w:rFonts w:hint="eastAsia" w:ascii="仿宋_GB2312" w:hAnsi="宋体" w:eastAsia="仿宋_GB2312"/>
          <w:b/>
          <w:sz w:val="32"/>
          <w:szCs w:val="32"/>
        </w:rPr>
      </w:pPr>
      <w:r>
        <w:rPr>
          <w:rFonts w:hint="eastAsia" w:ascii="仿宋_GB2312" w:hAnsi="宋体" w:eastAsia="仿宋_GB2312"/>
          <w:b/>
          <w:sz w:val="32"/>
          <w:szCs w:val="32"/>
        </w:rPr>
        <w:t>（一）强化部门绩效管理体系建设</w:t>
      </w:r>
      <w:r>
        <w:rPr>
          <w:rFonts w:hint="eastAsia" w:ascii="仿宋_GB2312" w:hAnsi="宋体" w:eastAsia="仿宋_GB2312"/>
          <w:b/>
          <w:sz w:val="32"/>
          <w:szCs w:val="32"/>
        </w:rPr>
        <w:br w:type="textWrapping"/>
      </w:r>
      <w:r>
        <w:rPr>
          <w:rFonts w:hint="eastAsia" w:ascii="仿宋_GB2312" w:hAnsi="宋体" w:eastAsia="仿宋_GB2312"/>
          <w:b/>
          <w:sz w:val="32"/>
          <w:szCs w:val="32"/>
        </w:rP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r>
        <w:rPr>
          <w:rFonts w:hint="eastAsia" w:ascii="仿宋_GB2312" w:hAnsi="宋体" w:eastAsia="仿宋_GB2312"/>
          <w:b/>
          <w:sz w:val="32"/>
          <w:szCs w:val="32"/>
        </w:rPr>
        <w:br w:type="textWrapping"/>
      </w:r>
      <w:r>
        <w:rPr>
          <w:rFonts w:hint="eastAsia" w:ascii="仿宋_GB2312" w:hAnsi="宋体" w:eastAsia="仿宋_GB2312"/>
          <w:b/>
          <w:sz w:val="32"/>
          <w:szCs w:val="32"/>
        </w:rPr>
        <w:t>（二）加强固定资产账务管理，确保账实相符</w:t>
      </w:r>
      <w:r>
        <w:rPr>
          <w:rFonts w:hint="eastAsia" w:ascii="仿宋_GB2312" w:hAnsi="宋体" w:eastAsia="仿宋_GB2312"/>
          <w:b/>
          <w:sz w:val="32"/>
          <w:szCs w:val="32"/>
        </w:rPr>
        <w:br w:type="textWrapping"/>
      </w:r>
      <w:r>
        <w:rPr>
          <w:rFonts w:hint="eastAsia" w:ascii="仿宋_GB2312" w:hAnsi="宋体" w:eastAsia="仿宋_GB2312"/>
          <w:b/>
          <w:sz w:val="32"/>
          <w:szCs w:val="32"/>
        </w:rP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r>
        <w:rPr>
          <w:rFonts w:hint="eastAsia" w:ascii="仿宋_GB2312" w:hAnsi="宋体" w:eastAsia="仿宋_GB2312"/>
          <w:b/>
          <w:sz w:val="32"/>
          <w:szCs w:val="32"/>
        </w:rPr>
        <w:br w:type="textWrapping"/>
      </w:r>
      <w:r>
        <w:rPr>
          <w:rFonts w:hint="eastAsia" w:ascii="仿宋_GB2312" w:hAnsi="宋体" w:eastAsia="仿宋_GB2312"/>
          <w:b/>
          <w:sz w:val="32"/>
          <w:szCs w:val="32"/>
        </w:rPr>
        <w:t>（三）建立动态分析管理机制，提高项目监管主动性</w:t>
      </w:r>
      <w:r>
        <w:rPr>
          <w:rFonts w:hint="eastAsia" w:ascii="仿宋_GB2312" w:hAnsi="宋体" w:eastAsia="仿宋_GB2312"/>
          <w:b/>
          <w:sz w:val="32"/>
          <w:szCs w:val="32"/>
        </w:rPr>
        <w:br w:type="textWrapping"/>
      </w:r>
      <w:r>
        <w:rPr>
          <w:rFonts w:hint="eastAsia" w:ascii="仿宋_GB2312" w:hAnsi="宋体" w:eastAsia="仿宋_GB2312"/>
          <w:b/>
          <w:sz w:val="32"/>
          <w:szCs w:val="32"/>
        </w:rP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pPr>
        <w:spacing w:line="600" w:lineRule="exact"/>
        <w:ind w:firstLine="624" w:firstLineChars="200"/>
        <w:jc w:val="left"/>
        <w:rPr>
          <w:rFonts w:hint="eastAsia" w:ascii="黑体" w:hAnsi="黑体" w:eastAsia="黑体" w:cs="宋体"/>
          <w:b/>
          <w:color w:val="333333"/>
          <w:lang w:bidi="ar"/>
        </w:rPr>
      </w:pPr>
      <w:r>
        <w:rPr>
          <w:rStyle w:val="7"/>
          <w:rFonts w:hint="eastAsia" w:ascii="黑体" w:hAnsi="黑体" w:eastAsia="黑体"/>
          <w:b w:val="0"/>
          <w:bCs w:val="0"/>
          <w:spacing w:val="-4"/>
          <w:sz w:val="32"/>
          <w:szCs w:val="32"/>
        </w:rPr>
        <w:t>七、</w:t>
      </w:r>
      <w:r>
        <w:rPr>
          <w:rFonts w:hint="eastAsia" w:ascii="黑体" w:hAnsi="黑体" w:eastAsia="黑体" w:cs="宋体"/>
          <w:bCs/>
          <w:color w:val="333333"/>
          <w:sz w:val="32"/>
          <w:szCs w:val="32"/>
          <w:lang w:bidi="ar"/>
        </w:rPr>
        <w:t>附表：《部门整体支出绩效自评表》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Segoe Print"/>
    <w:panose1 w:val="020F0302020204030204"/>
    <w:charset w:val="00"/>
    <w:family w:val="swiss"/>
    <w:pitch w:val="default"/>
    <w:sig w:usb0="00000000" w:usb1="00000000" w:usb2="00000000"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047DC0"/>
    <w:rsid w:val="00161D24"/>
    <w:rsid w:val="001C7F2C"/>
    <w:rsid w:val="00257E3B"/>
    <w:rsid w:val="00340E58"/>
    <w:rsid w:val="003E45AA"/>
    <w:rsid w:val="00400A45"/>
    <w:rsid w:val="004E239D"/>
    <w:rsid w:val="00584481"/>
    <w:rsid w:val="005D480C"/>
    <w:rsid w:val="00653C1A"/>
    <w:rsid w:val="007B51CE"/>
    <w:rsid w:val="007E47F4"/>
    <w:rsid w:val="00861DC7"/>
    <w:rsid w:val="008F0DCE"/>
    <w:rsid w:val="00916058"/>
    <w:rsid w:val="00942B0B"/>
    <w:rsid w:val="00A958AA"/>
    <w:rsid w:val="00AB72C1"/>
    <w:rsid w:val="00B2568B"/>
    <w:rsid w:val="00B36B8D"/>
    <w:rsid w:val="00C10BB4"/>
    <w:rsid w:val="00CB0ED2"/>
    <w:rsid w:val="00CE0C6C"/>
    <w:rsid w:val="00DB647F"/>
    <w:rsid w:val="00DC7E33"/>
    <w:rsid w:val="00E8616A"/>
    <w:rsid w:val="00EB3604"/>
    <w:rsid w:val="00FB299F"/>
    <w:rsid w:val="1DF63C54"/>
    <w:rsid w:val="6EFD34A3"/>
    <w:rsid w:val="7F900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99"/>
    <w:pPr>
      <w:ind w:firstLine="420" w:firstLineChars="200"/>
    </w:pPr>
  </w:style>
  <w:style w:type="character" w:customStyle="1" w:styleId="11">
    <w:name w:val="标题 4 字符"/>
    <w:basedOn w:val="6"/>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58</Words>
  <Characters>336</Characters>
  <Lines>2</Lines>
  <Paragraphs>1</Paragraphs>
  <TotalTime>26</TotalTime>
  <ScaleCrop>false</ScaleCrop>
  <LinksUpToDate>false</LinksUpToDate>
  <CharactersWithSpaces>393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2025-10-13T04:30:16Z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812AA2F0233644C982C7DB477B42BB87</vt:lpwstr>
  </property>
</Properties>
</file>