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80" w:firstLineChars="300"/>
        <w:jc w:val="left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仿宋" w:hAnsi="仿宋" w:eastAsia="仿宋" w:cs="仿宋"/>
          <w:sz w:val="36"/>
          <w:szCs w:val="36"/>
        </w:rPr>
        <w:t>项目名称</w:t>
      </w:r>
      <w:r>
        <w:rPr>
          <w:rFonts w:hint="eastAsia" w:ascii="楷体" w:hAnsi="楷体" w:eastAsia="楷体" w:cs="楷体"/>
          <w:sz w:val="32"/>
          <w:szCs w:val="32"/>
        </w:rPr>
        <w:t>：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村干部报酬（行政村）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80" w:firstLineChars="3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6"/>
          <w:szCs w:val="36"/>
        </w:rPr>
        <w:t>实施单位（公章）：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裕民县哈拉布拉乡人民政府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80" w:firstLineChars="3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6"/>
          <w:szCs w:val="36"/>
        </w:rPr>
        <w:t>主管部门（公章）：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裕民县哈拉布拉乡人民政府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80" w:firstLineChars="3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6"/>
          <w:szCs w:val="36"/>
        </w:rPr>
        <w:t>项目负责人（签章）</w:t>
      </w:r>
      <w:r>
        <w:rPr>
          <w:rFonts w:hint="eastAsia" w:ascii="楷体" w:hAnsi="楷体" w:eastAsia="楷体" w:cs="楷体"/>
          <w:sz w:val="32"/>
          <w:szCs w:val="32"/>
        </w:rPr>
        <w:t>：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陆志海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80" w:firstLineChars="3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6"/>
          <w:szCs w:val="36"/>
        </w:rPr>
        <w:t>填报时间：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2025年03月24日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1.项目背景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中央有针对村“两委”干部的相关政策，围绕提高待遇保障、强化激励机制、优化工作环境等方面开展，以增强对村干部积极性、稳定性和职业吸引力。随着乡村振兴战略的推进，农村各项工作任务日益繁重，对村干部的能力和素质要求越来越高，合理的报酬是吸引和留住优秀人才的路径，激励他们更好地为乡村发展服务的重要因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</w:t>
      </w:r>
      <w:r>
        <w:rPr>
          <w:rFonts w:hint="eastAsia" w:ascii="楷体" w:hAnsi="楷体" w:eastAsia="楷体" w:cs="楷体"/>
          <w:sz w:val="32"/>
          <w:szCs w:val="32"/>
        </w:rPr>
        <w:t>项目主要内容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主要内容：2024年哈拉布拉乡村干部72人发放村干部报酬补助资金，其中包括村书记10人，其中一肩挑6人，村主任2人，全年总支出221.96万元，项目按照计划正常实行，促进了村干部工作的积极性、主动性和创造性的有效充分发挥，把政策落实到位。该项目严格按照计划实施，并实行统一管理，并有效保障了绩效自评工作的顺利开展。提高村干部工作的开展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项目实施情况：该项目于2024年1月1日开始实施，资金由年初预算直接下达；每月按照正常的工作进度支付村干部报酬。有效提升农牧民群众的生活水平，提升了农牧民群众的幸福感、获得感及满意度。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3.资金投入和使用情况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（1）资金投入情况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该项目年初预算数221.96万元，全年预算数221.96万元，该项目资金已全部落实到位，资金来源为财政拨款。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（2）资金使用情况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该项目年初预算数221.96万元，全年预算数221.96万元，全年执行数221.96万元，预算执行率为100%，主要用于：支付村干部每月报酬。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该项目年初预算数221.96万元，全年预算数221.96万元，全年执行数221.96万元，预算执行率为100%，主要用于：支付村干部报酬。有效提升村干部的生活水平，激励村干部担当作为，为村队工作贡献自己一份力。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（一）绩效评价目的、对象和范围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1.绩效评价完整性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在评价指标体系的构建上，充分考虑了项目的性质、目标以及预期成果，选取了具有代表性和可衡量性的关键指标，涵盖了社会效益多个维度，力求全方位反映项目的绩效状况。同时，对于每个指标的评价标准和数据来源均进行了明确说明，确保评价结果的客观性和可追溯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2、绩效评价的目的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（1）评估项目实施效果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通过对项目预算执行情况及各项绩效目标达成程度的系统性分析，全面、客观地评估项目在预定周期内的实施效果，包括经济效益、社会效益、生态效益以及可持续性等多维度指标，为项目后续的改进与优化提供科学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（2）提升资源利用效率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（3）强化项目管理责任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（4）为决策提供支持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（5）促进项目持续改进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3、绩效评价的对象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本项目预算绩效评价报告的评价对象是[裕民县哈拉布拉乡村干部报酬项目]及其预算执行情况。该项目由[哈拉布拉乡人民政府]负责实施，旨在有效提升村干部的生活水平，激励村干部担当作为，为村队工作贡献自己一份力。项目预算涵盖从[2024年1月1日]至[2024年12月31日]的全部资金投入与支出，涉及资金总额为221.96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4、绩效评价的范围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（1）项目预算编制与执行：全面审视项目预算的编制依据、合理性、科学性以及实际执行情况，包括预算调整的原因和效果。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（2）资金管理：深入分析项目资金的分配、使用和监管情况，确保资金使用的合规性、高效性和透明度。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（3）项目实施进度与产出：评估项目是否按照既定计划顺利推进，各项任务是否按时完成，以及项目产出的数量、质量和时效性是否符合预期。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（4）社会、生态等影响：考察项目对社会、生态、经济等方面的综合影响。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（二）绩效评价原则、评价指标体系、评价方法、评价标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1、绩效评价原则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本次项目绩效评价遵循以下基本原则：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科学公正。绩效评价应当运用科学合理的方法，按照规范的程序，对项目绩效进行客观、公正的反映。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（4）公开透明。绩效评价结果应依法依规公开，并自觉接受社会监督。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2、评价指标体系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（1）确定评价指标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（2）确定权重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（3）确定指标标准值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绩效评价总分值100分，根据综合评分结果，90（含）-100分为优、80（含）-90分为良、60（含）-80分为中、60分以下为差。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具体评价指标体系详情见附件1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4.绩效评价方法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绩效评价从项目决策、项目过程、项目产出、项目效益四个维度进行评价。评价对象为项目目标实施情况，评价核心为资金的支出完成情况和项目的产出效益。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因素分析法。是指综合分析影响绩效目标实现、实施效果的内外部因素的方法。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4.评价标准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（1）前期准备与规划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在项目绩效评价工作启动之初，成立了专门的评价工作小组，小组成员由党委主要领导及财务人员组成，确保从多角度、全方位对项目绩效进行评价。同时，明确了评价工作的目标、范围、重点及时间安排，制定了详细的工作计划，为评价工作的顺利开展奠定了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（2）指标体系构建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（3）数据收集与整理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广泛收集与项目相关的各类数据，包括财务报表、项目文档、业务数据、村干部满意度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（4）数据分析与评估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5</w:t>
      </w:r>
      <w:r>
        <w:rPr>
          <w:rFonts w:hint="eastAsia" w:ascii="楷体" w:hAnsi="楷体" w:eastAsia="楷体" w:cs="楷体"/>
          <w:sz w:val="32"/>
          <w:szCs w:val="32"/>
        </w:rPr>
        <w:t>）报告撰写与反馈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）后续跟踪与改进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（一）评价情况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本项目的综合评价基于对项目各方面绩效的深入分析与评估。从项目目标的达成情况来看，[哈拉布拉乡村干部报酬]在[资金支付准确率]、[资金支付及时率]等方面表现出色，达到了预期的标准与要求。同时，项目也在[经济成本指标]取得了显著的成效，其他成本]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在项目管理方面，[裕民县哈拉布拉乡人民政府]通过有效的规划、组织与协调，项目得以顺利实施，并在预算与时间上保持了良好的控制。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从项目效益的角度来看，本项目不仅实现了预期的社会效益、等方面产生了积极的影响。具体而言，[保障村级工作正常开展]、[村干部满意度]等方面的提升，为项目的利益相关者带来了实实在在的利益。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综上所述，[哈拉布拉乡村干部报酬]在绩效评价中表现出色，达到了项目的预期目标，并在多个方面取得了显著的成效。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100分，属于“优（良/中/差）”。其中，项目决策类指标权重为20分，得分为20分，得分率为20%。项目过程类指标权重为20分，得分为20分，得分率为100%。项目产出类指标权重为40分，得分为40分，得分率为100%。项目效益类指标权重为20分，得分为20分，得分率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为</w:t>
      </w:r>
      <w:r>
        <w:rPr>
          <w:rFonts w:hint="eastAsia" w:ascii="楷体" w:hAnsi="楷体" w:eastAsia="楷体" w:cs="楷体"/>
          <w:sz w:val="32"/>
          <w:szCs w:val="32"/>
        </w:rPr>
        <w:t>100%。具体打分情况详见：附件1综合评分表。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表1综合评分表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一级指标</w:t>
      </w:r>
      <w:r>
        <w:rPr>
          <w:rFonts w:hint="eastAsia" w:ascii="楷体" w:hAnsi="楷体" w:eastAsia="楷体" w:cs="楷体"/>
          <w:sz w:val="32"/>
          <w:szCs w:val="32"/>
        </w:rPr>
        <w:tab/>
      </w:r>
      <w:r>
        <w:rPr>
          <w:rFonts w:hint="eastAsia" w:ascii="楷体" w:hAnsi="楷体" w:eastAsia="楷体" w:cs="楷体"/>
          <w:sz w:val="32"/>
          <w:szCs w:val="32"/>
        </w:rPr>
        <w:t>权重分</w:t>
      </w:r>
      <w:r>
        <w:rPr>
          <w:rFonts w:hint="eastAsia" w:ascii="楷体" w:hAnsi="楷体" w:eastAsia="楷体" w:cs="楷体"/>
          <w:sz w:val="32"/>
          <w:szCs w:val="32"/>
        </w:rPr>
        <w:tab/>
      </w:r>
      <w:r>
        <w:rPr>
          <w:rFonts w:hint="eastAsia" w:ascii="楷体" w:hAnsi="楷体" w:eastAsia="楷体" w:cs="楷体"/>
          <w:sz w:val="32"/>
          <w:szCs w:val="32"/>
        </w:rPr>
        <w:t>得分</w:t>
      </w:r>
      <w:r>
        <w:rPr>
          <w:rFonts w:hint="eastAsia" w:ascii="楷体" w:hAnsi="楷体" w:eastAsia="楷体" w:cs="楷体"/>
          <w:sz w:val="32"/>
          <w:szCs w:val="32"/>
        </w:rPr>
        <w:tab/>
      </w:r>
      <w:r>
        <w:rPr>
          <w:rFonts w:hint="eastAsia" w:ascii="楷体" w:hAnsi="楷体" w:eastAsia="楷体" w:cs="楷体"/>
          <w:sz w:val="32"/>
          <w:szCs w:val="32"/>
        </w:rPr>
        <w:t>得分率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项目决策</w:t>
      </w:r>
      <w:r>
        <w:rPr>
          <w:rFonts w:hint="eastAsia" w:ascii="楷体" w:hAnsi="楷体" w:eastAsia="楷体" w:cs="楷体"/>
          <w:sz w:val="32"/>
          <w:szCs w:val="32"/>
        </w:rPr>
        <w:tab/>
      </w:r>
      <w:r>
        <w:rPr>
          <w:rFonts w:hint="eastAsia" w:ascii="楷体" w:hAnsi="楷体" w:eastAsia="楷体" w:cs="楷体"/>
          <w:sz w:val="32"/>
          <w:szCs w:val="32"/>
        </w:rPr>
        <w:t xml:space="preserve"> 20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32"/>
          <w:szCs w:val="32"/>
        </w:rPr>
        <w:t>20</w:t>
      </w:r>
      <w:r>
        <w:rPr>
          <w:rFonts w:hint="eastAsia" w:ascii="楷体" w:hAnsi="楷体" w:eastAsia="楷体" w:cs="楷体"/>
          <w:sz w:val="32"/>
          <w:szCs w:val="32"/>
        </w:rPr>
        <w:tab/>
      </w:r>
      <w:r>
        <w:rPr>
          <w:rFonts w:hint="eastAsia" w:ascii="楷体" w:hAnsi="楷体" w:eastAsia="楷体" w:cs="楷体"/>
          <w:sz w:val="32"/>
          <w:szCs w:val="32"/>
        </w:rPr>
        <w:t xml:space="preserve"> 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项目过程</w:t>
      </w:r>
      <w:r>
        <w:rPr>
          <w:rFonts w:hint="eastAsia" w:ascii="楷体" w:hAnsi="楷体" w:eastAsia="楷体" w:cs="楷体"/>
          <w:sz w:val="32"/>
          <w:szCs w:val="32"/>
        </w:rPr>
        <w:tab/>
      </w:r>
      <w:r>
        <w:rPr>
          <w:rFonts w:hint="eastAsia" w:ascii="楷体" w:hAnsi="楷体" w:eastAsia="楷体" w:cs="楷体"/>
          <w:sz w:val="32"/>
          <w:szCs w:val="32"/>
        </w:rPr>
        <w:t xml:space="preserve"> 20     20</w:t>
      </w:r>
      <w:r>
        <w:rPr>
          <w:rFonts w:hint="eastAsia" w:ascii="楷体" w:hAnsi="楷体" w:eastAsia="楷体" w:cs="楷体"/>
          <w:sz w:val="32"/>
          <w:szCs w:val="32"/>
        </w:rPr>
        <w:tab/>
      </w:r>
      <w:r>
        <w:rPr>
          <w:rFonts w:hint="eastAsia" w:ascii="楷体" w:hAnsi="楷体" w:eastAsia="楷体" w:cs="楷体"/>
          <w:sz w:val="32"/>
          <w:szCs w:val="32"/>
        </w:rPr>
        <w:t xml:space="preserve"> 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项目产出</w:t>
      </w:r>
      <w:r>
        <w:rPr>
          <w:rFonts w:hint="eastAsia" w:ascii="楷体" w:hAnsi="楷体" w:eastAsia="楷体" w:cs="楷体"/>
          <w:sz w:val="32"/>
          <w:szCs w:val="32"/>
        </w:rPr>
        <w:tab/>
      </w:r>
      <w:r>
        <w:rPr>
          <w:rFonts w:hint="eastAsia" w:ascii="楷体" w:hAnsi="楷体" w:eastAsia="楷体" w:cs="楷体"/>
          <w:sz w:val="32"/>
          <w:szCs w:val="32"/>
        </w:rPr>
        <w:t xml:space="preserve"> 40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32"/>
          <w:szCs w:val="32"/>
        </w:rPr>
        <w:t xml:space="preserve">40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2"/>
          <w:szCs w:val="32"/>
        </w:rPr>
        <w:t>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项目效益</w:t>
      </w:r>
      <w:r>
        <w:rPr>
          <w:rFonts w:hint="eastAsia" w:ascii="楷体" w:hAnsi="楷体" w:eastAsia="楷体" w:cs="楷体"/>
          <w:sz w:val="32"/>
          <w:szCs w:val="32"/>
        </w:rPr>
        <w:tab/>
      </w:r>
      <w:r>
        <w:rPr>
          <w:rFonts w:hint="eastAsia" w:ascii="楷体" w:hAnsi="楷体" w:eastAsia="楷体" w:cs="楷体"/>
          <w:sz w:val="32"/>
          <w:szCs w:val="32"/>
        </w:rPr>
        <w:t xml:space="preserve"> 20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32"/>
          <w:szCs w:val="32"/>
        </w:rPr>
        <w:t xml:space="preserve">20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32"/>
          <w:szCs w:val="32"/>
        </w:rPr>
        <w:t>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合计</w:t>
      </w:r>
      <w:r>
        <w:rPr>
          <w:rFonts w:hint="eastAsia" w:ascii="楷体" w:hAnsi="楷体" w:eastAsia="楷体" w:cs="楷体"/>
          <w:sz w:val="32"/>
          <w:szCs w:val="32"/>
        </w:rPr>
        <w:tab/>
      </w:r>
      <w:r>
        <w:rPr>
          <w:rFonts w:hint="eastAsia" w:ascii="楷体" w:hAnsi="楷体" w:eastAsia="楷体" w:cs="楷体"/>
          <w:sz w:val="32"/>
          <w:szCs w:val="32"/>
        </w:rPr>
        <w:t xml:space="preserve">   100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32"/>
          <w:szCs w:val="32"/>
        </w:rPr>
        <w:t>99.65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（一）项目决策情况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1.项目立项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（1）立项依据充分性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该项目立项符合国家相关法律法规，围绕本年度工作重点和工作计划制定经费预算，属于公共财政支持范围。本项目与部门内部其他相关项目不重复。部门发展规划及职能文件等归档完整。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（2）立项程序规范性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</w:t>
      </w:r>
      <w:r>
        <w:rPr>
          <w:rFonts w:hint="eastAsia" w:ascii="楷体" w:hAnsi="楷体" w:eastAsia="楷体" w:cs="楷体"/>
          <w:sz w:val="32"/>
          <w:szCs w:val="32"/>
        </w:rPr>
        <w:t>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（1）绩效目标合理性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（2）绩效指标明确性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3.资金投入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（1）预算编制科学性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（2）资金分配合理性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Fonts w:hint="eastAsia" w:ascii="楷体" w:hAnsi="楷体" w:eastAsia="楷体" w:cs="楷体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（二）项目过程情况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1.资金管理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（1）资金到位率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本项目总投资221.96万元，财政资金及时足额到位，到位率100%，预算资金按计划进度执行。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（2）预算执行率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预算编制较为详细，项目资金支出总体能够按照预算执行，预算资金支出221.96万元，预算执行率为100%。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（3）资金使用合规性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2.组织实施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（1）管理制度健全性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在制度设计上，我们注重了制度的科学性与可操作性，确保制度能够切实指导项目的执行与管理。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（2）制度执行有效性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综上所述，本项目的管理制度在执行过程中表现出了高度的有效性，既确保了项目的顺利进行，又实现了项目目标的有效达成。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（三）项目产出情况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项目产出类指标包括产出数量、产出质量、产出时效、产出成本四方面的内容，由7个三级指标构成，权重分为40分，实际得分40分，得分率为100%。具体产出指标完成情况如下：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①数量指标：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指标1：村干部人数，指标值：72人，实际完成值：72人，该指标为10分，实际得分10分，指标完成率100%。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②质量指标：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指标1：资金发放准确率，指标值：100%，实际完成值：100%，该指标为10分，实际得分10分，指标完成率100%。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③时效指标：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指标1：资金完成时间，指标值：2024年12月25日，实际完成值：2025年12月25日，该指标为10分，实际得分10分，指标完成率100%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指标2：资金支付及时率，指标值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=</w:t>
      </w:r>
      <w:r>
        <w:rPr>
          <w:rFonts w:hint="eastAsia" w:ascii="楷体" w:hAnsi="楷体" w:eastAsia="楷体" w:cs="楷体"/>
          <w:sz w:val="32"/>
          <w:szCs w:val="32"/>
        </w:rPr>
        <w:t>100%，实际完成值：100%，该指标为10分，该指标为10分，指标完成率100%。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④成本指标：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指标1：村干部人均补助成本，指标值：2500元/人/月，实际完成值：2500元/人/月，该指标为20分，实际得分20分，指标完成率100%；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（四）项目效益情况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项目效益类指标包括项目实施效益和满意度两方面的内容，由1个三级指标构成，该指标为20分，实际得分20分，得分率为100%。具体效益指标及满意度指标完成情况如下：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1.实施效益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①社会效益指标：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指标1：保障村级工作运行正常，指标值：有效保障，实际完成值：有效保障，该指标为20分，实际得分20分，指标完成率100%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2.满意度：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指标1：村干部满意度，指标值：≥95%，实际完成值：95%，该指标为10分，实际得分10分，指标完成率100%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五、预算执行进度与绩效指标偏差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哈拉布拉乡村干部报酬年初预算221.96万元，全年预算221.96万元，实际支出21.96万元，预算执行率为100%，项目绩效指标总体完成率为100%，总体偏差率为0%。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（一）主要经验及做法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严格坚持先做事、后验收、再拨付的原则，杜绝了资金被挤占和挪用现象的发生，跟踪检查到位。财政、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JJ</w:t>
      </w:r>
      <w:r>
        <w:rPr>
          <w:rFonts w:hint="eastAsia" w:ascii="楷体" w:hAnsi="楷体" w:eastAsia="楷体" w:cs="楷体"/>
          <w:sz w:val="32"/>
          <w:szCs w:val="32"/>
        </w:rPr>
        <w:t>、监察等职能部门全面参与专项资金事前、事中和事后全过</w:t>
      </w:r>
      <w:bookmarkStart w:id="0" w:name="_GoBack"/>
      <w:bookmarkEnd w:id="0"/>
      <w:r>
        <w:rPr>
          <w:rFonts w:hint="eastAsia" w:ascii="楷体" w:hAnsi="楷体" w:eastAsia="楷体" w:cs="楷体"/>
          <w:sz w:val="32"/>
          <w:szCs w:val="32"/>
        </w:rPr>
        <w:t>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1.相关绩效管理方面专业知识的系统性学习有待加强。各项指标的设置要进一步优化、完善，主要在细化、量化上改进。在绩效自评过程中，由干部分人员缺乏相关绩效管理专业知识，自评价工作还存在自我审定的局限性，影响评价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2.因轮岗、调动等因素使我单位绩效工作人员流动频繁，造成工作衔接不到位的情况。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2.专门设定对绩效工作人员定职、定岗、定责等相关制度措施，进一步提升我单位绩效管理工作业务水平，扎实做好绩效管理工作。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本项目无其他需说明的问题。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sz w:val="32"/>
          <w:szCs w:val="32"/>
        </w:rPr>
      </w:pPr>
    </w:p>
    <w:sectPr>
      <w:footerReference r:id="rId3" w:type="default"/>
      <w:pgSz w:w="11906" w:h="16838"/>
      <w:pgMar w:top="1440" w:right="1757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86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015EEC78CE674BB6990825864BB4B539_13</vt:lpwstr>
  </property>
  <property fmtid="{D5CDD505-2E9C-101B-9397-08002B2CF9AE}" pid="4" name="KSOTemplateDocerSaveRecord">
    <vt:lpwstr>eyJoZGlkIjoiMWMxYzVjYzhjZmU5YmZjNTgyYmM2NzAyYjQ5YTA2YmMiLCJ1c2VySWQiOiIxMDEwODI5NDU2In0=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68f783-f157-4cc0-904b-12e2fd446a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8901</Words>
  <Characters>9197</Characters>
  <Lines>5</Lines>
  <Paragraphs>1</Paragraphs>
  <TotalTime>8</TotalTime>
  <ScaleCrop>false</ScaleCrop>
  <LinksUpToDate>false</LinksUpToDate>
  <CharactersWithSpaces>9482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恺_xFF08_预算处_xFF09_</dc:creator>
  <cp:lastModifiedBy>0305</cp:lastModifiedBy>
  <cp:lastPrinted>2018-12-31T10:56:00Z</cp:lastPrinted>
  <dcterms:modified xsi:type="dcterms:W3CDTF">2025-09-29T10:34:52Z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015EEC78CE674BB6990825864BB4B539_13</vt:lpwstr>
  </property>
  <property fmtid="{D5CDD505-2E9C-101B-9397-08002B2CF9AE}" pid="4" name="KSOTemplateDocerSaveRecord">
    <vt:lpwstr>eyJoZGlkIjoiMWMxYzVjYzhjZmU5YmZjNTgyYmM2NzAyYjQ5YTA2YmMiLCJ1c2VySWQiOiIxMDEwODI5NDU2In0_x003D_</vt:lpwstr>
  </property>
</Properties>
</file>