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方正小标宋_GBK" w:hAnsi="华文中宋" w:cs="宋体" w:hint="default"/>
          <w:b/>
          <w:kern w:val="0"/>
          <w:sz w:val="52"/>
          <w:szCs w:val="52"/>
          <w:lang w:val="en-US" w:eastAsia="zh-CN"/>
        </w:rPr>
      </w:pPr>
      <w:r>
        <w:rPr>
          <w:rFonts w:ascii="方正小标宋_GBK" w:eastAsia="方正小标宋_GBK" w:hAnsi="华文中宋" w:cs="宋体" w:hint="eastAsia"/>
          <w:b/>
          <w:kern w:val="0"/>
          <w:sz w:val="48"/>
          <w:szCs w:val="48"/>
        </w:rPr>
        <w:t xml:space="preserve">项目支出绩效自评报告</w:t>
      </w:r>
      <w:r>
        <w:rPr>
          <w:rFonts w:ascii="方正小标宋_GBK" w:eastAsia="方正小标宋_GBK" w:hAnsi="华文中宋" w:cs="宋体" w:hint="eastAsia"/>
          <w:b/>
          <w:kern w:val="0"/>
          <w:sz w:val="48"/>
          <w:szCs w:val="48"/>
          <w:lang w:val="en-US" w:eastAsia="zh-CN"/>
        </w:rPr>
        <w:t xml:space="preserve">  </w:t>
      </w:r>
    </w:p>
    <w:p>
      <w:pPr>
        <w:spacing w:line="540" w:lineRule="exact"/>
        <w:jc w:val="center"/>
        <w:rPr>
          <w:rFonts w:ascii="方正小标宋_GBK" w:eastAsia="方正小标宋_GBK" w:hAnsi="华文中宋" w:cs="宋体" w:hint="eastAsia"/>
          <w:b/>
          <w:kern w:val="0"/>
          <w:sz w:val="48"/>
          <w:szCs w:val="48"/>
        </w:rPr>
      </w:pPr>
    </w:p>
    <w:p>
      <w:pPr>
        <w:spacing w:line="700" w:lineRule="exact"/>
        <w:ind w:firstLine="2520" w:firstLineChars="700"/>
        <w:jc w:val="left"/>
        <w:rPr>
          <w:rFonts w:eastAsia="仿宋_GB2312" w:hAnsi="宋体" w:cs="宋体" w:hint="eastAsia"/>
          <w:kern w:val="0"/>
          <w:sz w:val="36"/>
          <w:szCs w:val="36"/>
        </w:rPr>
      </w:pPr>
      <w:r>
        <w:rPr>
          <w:rFonts w:eastAsia="仿宋_GB2312" w:hAnsi="宋体" w:cs="宋体" w:hint="eastAsia"/>
          <w:kern w:val="0"/>
          <w:sz w:val="36"/>
          <w:szCs w:val="36"/>
        </w:rPr>
        <w:t xml:space="preserve">（ 2024年度）</w:t>
      </w:r>
    </w:p>
    <w:p>
      <w:pPr>
        <w:spacing w:line="700" w:lineRule="exact"/>
        <w:ind w:firstLine="900" w:firstLineChars="250"/>
        <w:jc w:val="left"/>
        <w:rPr>
          <w:rFonts w:eastAsia="仿宋_GB2312" w:hAnsi="宋体" w:cs="宋体" w:hint="eastAsia"/>
          <w:kern w:val="0"/>
          <w:sz w:val="36"/>
          <w:szCs w:val="36"/>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hint="eastAsia"/>
          <w:kern w:val="0"/>
          <w:sz w:val="36"/>
          <w:szCs w:val="36"/>
        </w:rPr>
      </w:pPr>
      <w:r>
        <w:rPr>
          <w:rFonts w:eastAsia="仿宋_GB2312" w:hAnsi="宋体" w:cs="宋体" w:hint="eastAsia"/>
          <w:kern w:val="0"/>
          <w:sz w:val="36"/>
          <w:szCs w:val="36"/>
        </w:rPr>
        <w:t xml:space="preserve">项目名称：2024年基本公共卫生服务补助资金</w:t>
      </w:r>
    </w:p>
    <w:p>
      <w:pPr>
        <w:spacing w:line="700" w:lineRule="exact"/>
        <w:ind w:firstLine="720" w:firstLineChars="200"/>
        <w:jc w:val="left"/>
        <w:rPr>
          <w:rFonts w:eastAsia="仿宋_GB2312" w:hAnsi="宋体" w:cs="宋体" w:hint="eastAsia"/>
          <w:kern w:val="0"/>
          <w:sz w:val="36"/>
          <w:szCs w:val="36"/>
        </w:rPr>
      </w:pPr>
      <w:r>
        <w:rPr>
          <w:rFonts w:eastAsia="仿宋_GB2312" w:hAnsi="宋体" w:cs="宋体" w:hint="eastAsia"/>
          <w:kern w:val="0"/>
          <w:sz w:val="36"/>
          <w:szCs w:val="36"/>
        </w:rPr>
        <w:t xml:space="preserve"> 实施单位（公章）：裕民县吉也克镇卫生院</w:t>
      </w:r>
    </w:p>
    <w:p>
      <w:pPr>
        <w:spacing w:line="700" w:lineRule="exact"/>
        <w:ind w:firstLine="900" w:firstLineChars="250"/>
        <w:jc w:val="left"/>
        <w:rPr>
          <w:rFonts w:eastAsia="仿宋_GB2312" w:hAnsi="宋体" w:cs="宋体" w:hint="eastAsia"/>
          <w:kern w:val="0"/>
          <w:sz w:val="36"/>
          <w:szCs w:val="36"/>
        </w:rPr>
      </w:pPr>
      <w:r>
        <w:rPr>
          <w:rFonts w:eastAsia="仿宋_GB2312" w:hAnsi="宋体" w:cs="宋体" w:hint="eastAsia"/>
          <w:kern w:val="0"/>
          <w:sz w:val="36"/>
          <w:szCs w:val="36"/>
        </w:rPr>
        <w:t xml:space="preserve">主管部门（公章）：裕民县吉也克镇卫生院</w:t>
      </w:r>
    </w:p>
    <w:p>
      <w:pPr>
        <w:spacing w:line="700" w:lineRule="exact"/>
        <w:ind w:firstLine="900" w:firstLineChars="250"/>
        <w:jc w:val="left"/>
        <w:rPr>
          <w:rFonts w:eastAsia="仿宋_GB2312" w:hAnsi="宋体" w:cs="宋体" w:hint="eastAsia"/>
          <w:kern w:val="0"/>
          <w:sz w:val="36"/>
          <w:szCs w:val="36"/>
        </w:rPr>
      </w:pPr>
      <w:r>
        <w:rPr>
          <w:rFonts w:eastAsia="仿宋_GB2312" w:hAnsi="宋体" w:cs="宋体" w:hint="eastAsia"/>
          <w:kern w:val="0"/>
          <w:sz w:val="36"/>
          <w:szCs w:val="36"/>
        </w:rPr>
        <w:t xml:space="preserve">项目负责人（签章）：王静懿</w:t>
      </w:r>
    </w:p>
    <w:p>
      <w:pPr>
        <w:spacing w:line="700" w:lineRule="exact"/>
        <w:ind w:firstLine="900" w:firstLineChars="250"/>
        <w:jc w:val="left"/>
        <w:rPr>
          <w:rStyle w:val="Strong"/>
          <w:rFonts w:ascii="黑体" w:eastAsia="黑体" w:hAnsi="黑体" w:hint="eastAsia"/>
          <w:b w:val="0"/>
          <w:spacing w:val="-4"/>
          <w:sz w:val="32"/>
          <w:szCs w:val="32"/>
        </w:rPr>
      </w:pPr>
      <w:r>
        <w:rPr>
          <w:rFonts w:eastAsia="仿宋_GB2312" w:hAnsi="宋体" w:cs="宋体" w:hint="eastAsia"/>
          <w:kern w:val="0"/>
          <w:sz w:val="36"/>
          <w:szCs w:val="36"/>
        </w:rPr>
        <w:t xml:space="preserve">填报时间：2025年04月24日</w:t>
      </w:r>
    </w:p>
    <w:p>
      <w:pPr>
        <w:numPr>
          <w:ilvl w:val="0"/>
          <w:numId w:val="3"/>
        </w:numPr>
        <w:spacing w:line="540" w:lineRule="exact"/>
        <w:ind w:firstLine="640" w:firstLineChars="200"/>
        <w:rPr>
          <w:rStyle w:val="Strong"/>
          <w:rFonts w:ascii="楷体" w:eastAsia="楷体" w:hAnsi="楷体" w:hint="eastAsia"/>
          <w:spacing w:val="-4"/>
          <w:sz w:val="32"/>
          <w:szCs w:val="32"/>
        </w:rPr>
      </w:pPr>
      <w:r>
        <w:rPr>
          <w:rStyle w:val="Strong"/>
          <w:rFonts w:ascii="黑体" w:eastAsia="黑体" w:hAnsi="黑体" w:hint="eastAsia"/>
          <w:b w:val="0"/>
          <w:spacing w:val="-4"/>
          <w:sz w:val="32"/>
          <w:szCs w:val="32"/>
        </w:rPr>
        <w:t xml:space="preserve">基本情况</w:t>
      </w:r>
    </w:p>
    <w:p>
      <w:pPr>
        <w:numPr>
          <w:ilvl w:val="0"/>
          <w:numId w:val="4"/>
        </w:numPr>
        <w:spacing w:line="540" w:lineRule="exact"/>
        <w:ind w:firstLine="320" w:firstLineChars="100"/>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项目概况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1.</w:t>
      </w:r>
      <w:r>
        <w:rPr>
          <w:rStyle w:val="Strong"/>
          <w:rFonts w:ascii="楷体" w:eastAsia="楷体" w:hAnsi="楷体" w:hint="eastAsia"/>
          <w:b w:val="0"/>
          <w:bCs w:val="0"/>
          <w:spacing w:val="-4"/>
          <w:sz w:val="32"/>
          <w:szCs w:val="32"/>
        </w:rPr>
        <w:t xml:space="preserve">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基本公共卫生服务项目是促进基本公共卫生服务逐步均等化的重要内容，是深化医药卫生体制改革的重要工作。是我县政府针对当前城乡居民存在的主要健康问题，以儿童、孕产妇、老年人、慢性疾病患者为重点人群，面向全体居民免费提供的最基本公共卫生服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rPr>
        <w:t xml:space="preserve">项目主要内容：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主要内容：目前，基本公共卫生服务项目有14项内容，即：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项目实施情况：本项目于2024年1月开始实施，截至2024年12月，该项目已实施完成孕产妇及0-6岁儿童体检管理率100%、健康教育讲座及公众咨询60次，高血压规范管理率110%;Ⅱ型糖尿病规范管理率100.74%，适龄儿童国家免疫规划疫苗接种率114.54%，老年人健康管理率105.48%。通过本项目的实施，有效保障受益群众基本生活，提升了群众对传染病的认识，增强了传染病防控意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3.资金投入和使用情况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（1）资金投入情况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该项目年初预算数5.97万元，全年预算数44.7万元，该项目资金已全部落实到位，资金来源为财政拨款。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（2）资金使用情况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该项目年初预算数5.97万元，全年预算数44.7万元，全年执行数44.7万元，预算执行率为100%，主要用于：支付商品和服务支出费用44.7万元。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keepNext w:val="0"/>
        <w:keepLines w:val="0"/>
        <w:pageBreakBefore w:val="0"/>
        <w:widowControl w:val="0"/>
        <w:kinsoku/>
        <w:wordWrap/>
        <w:overflowPunct/>
        <w:topLinePunct w:val="0"/>
        <w:autoSpaceDE/>
        <w:autoSpaceDN/>
        <w:bidi w:val="0"/>
        <w:adjustRightInd/>
        <w:snapToGrid/>
        <w:spacing w:line="240" w:lineRule="auto"/>
        <w:ind w:left="0" w:firstLine="640" w:leftChars="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color w:val="FFFFFF" w:themeColor="background1"/>
          <w:spacing w:val="-4"/>
          <w:sz w:val="32"/>
          <w:szCs w:val="32"/>
          <w14:textFill>
            <w14:solidFill>
              <w14:schemeClr w14:val="bg1"/>
            </w14:solidFill>
          </w14:textFill>
        </w:rPr>
        <w:t xml:space="preserve">根据</w:t>
      </w:r>
      <w:r>
        <w:rPr>
          <w:rStyle w:val="Strong"/>
          <w:rFonts w:ascii="楷体" w:eastAsia="楷体" w:hAnsi="楷体" w:hint="eastAsia"/>
          <w:b w:val="0"/>
          <w:bCs w:val="0"/>
          <w:spacing w:val="-4"/>
          <w:sz w:val="32"/>
          <w:szCs w:val="32"/>
        </w:rPr>
        <w:t xml:space="preserve">塔地财社[2023]25号2023年中央基本公共卫生补助、塔地财社[2023]93号2024年中央基本公共卫生、塔地财社[2023]94号2024年自治区基本公共卫生服务补助资金、塔地财社［2024］20号2024年中央基本公共卫生服务补助资金第二批、2024年县级配套资金、塔地财社[2024]10号2024年自治区基本公共卫生补助预算，下达预算44.7万元，主要用于居民可以免费享受基本公共卫生服务14项服务内容，包括居民健康档案管理，健康教育，预防接种，传染病及突发公共卫生事件报告和处理，0-6儿童管理，孕产妇健康管理，65岁以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2024年12月25日之前我单位完成了孕产妇及0-6岁儿童体检管理率90%、健康教育讲座及公众咨询次数66次、高血压规范管理率80.55%、Ⅱ型糖尿病规范管理率88.59%、适龄儿童国家免疫规划疫苗接种率91.63%，老年人健康管理率70.67%。通过各项工作的开展提高了辖区居民综合知晓率，获得了较高的居民满意度。</w:t>
      </w:r>
    </w:p>
    <w:p>
      <w:pPr>
        <w:spacing w:line="540" w:lineRule="exact"/>
        <w:ind w:firstLine="640" w:firstLineChars="20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1.绩效评价完整性</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rPr>
        <w:t xml:space="preserve">绩效评价的目的</w:t>
      </w:r>
    </w:p>
    <w:p>
      <w:pPr>
        <w:numPr>
          <w:ilvl w:val="0"/>
          <w:numId w:val="0"/>
        </w:numPr>
        <w:spacing w:line="540" w:lineRule="exact"/>
        <w:ind w:firstLine="320" w:firstLineChars="1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（1）评估项目实施效果</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通过对项目预算执行情况及各项绩效目标达成程度的系统性分析，全面、客观地评估项目在预定周期内的实施效果，包括社会效益等多维度指标，为项目后续的改进与优化提供科学依据</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提升资源利用效率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numPr>
          <w:ilvl w:val="0"/>
          <w:numId w:val="6"/>
        </w:numPr>
        <w:spacing w:line="540" w:lineRule="exact"/>
        <w:ind w:firstLine="320" w:firstLineChars="1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强化项目管理责任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（4）为决策提供支持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numPr>
          <w:ilvl w:val="0"/>
          <w:numId w:val="0"/>
        </w:numPr>
        <w:spacing w:line="540" w:lineRule="exact"/>
        <w:ind w:firstLine="320" w:firstLineChars="1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（5）</w:t>
      </w:r>
      <w:r>
        <w:rPr>
          <w:rStyle w:val="Strong"/>
          <w:rFonts w:ascii="楷体" w:eastAsia="楷体" w:hAnsi="楷体" w:hint="eastAsia"/>
          <w:b w:val="0"/>
          <w:bCs w:val="0"/>
          <w:spacing w:val="-4"/>
          <w:sz w:val="32"/>
          <w:szCs w:val="32"/>
        </w:rPr>
        <w:t xml:space="preserve">促进项目持续改进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3.绩效评价的对象</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的评价对象是基本公共卫生服务补助资金项目及其预算执行情况。该项目由裕民县疾病预防控制中心负责实施，旨在通过结核病、预防接种、地方病、职业病的宣传，对全县民健康问题实施干预，减少主要健康危害因素，减少居民的患病几率，有效预防和控制传染病及慢性非传染性疾病，加强突发公共卫生事件应急机制建设，提高基本公共项目和突发公共卫生事件应急处置能力，全县居民逐步获得均等化的基本公共项目服务，主要健康危险因素得到有效控制，全县居民健康水平得到进一步提高。。项目预算涵盖从2024年1月至2024年12月的全部资金投入与支出，涉及资金总额为44.7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4.绩效评价的范围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p>
    <w:p>
      <w:pPr>
        <w:spacing w:line="540" w:lineRule="exact"/>
        <w:ind w:firstLine="320" w:firstLineChars="1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spacing w:line="540" w:lineRule="exact"/>
        <w:ind w:firstLine="320" w:firstLineChars="1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本次项目绩效评价遵循以下基本原则：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（1）确定评价指标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（2）确定权重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p>
    <w:p>
      <w:pPr>
        <w:spacing w:line="540" w:lineRule="exact"/>
        <w:ind w:firstLine="320" w:firstLineChars="1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（3）确定指标标准值</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绩效评价总分值100分，根据综合评分结果，90（含）-100分为优、80（含）-90分为良、60（含）-80分为中、60分以下为差。具体评价指标体系详情见附件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3.绩效评价方法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本次评价指标中，既有定性指标又有定量指标，各类指标因考核内容不同和客观标准不同存在较大差异，因此核定具体指标时采用了不同方法，具体评价方法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（一）因素分析法。是指综合分析影响绩效目标实现、实施效果的内外部因素的方法。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w:t>
      </w:r>
    </w:p>
    <w:p>
      <w:pPr>
        <w:spacing w:line="540" w:lineRule="exact"/>
        <w:ind w:firstLine="320" w:firstLineChars="1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（1）计划标准。指以预先制定的目标、计划、预算、定额等作为评价标准。</w:t>
      </w:r>
    </w:p>
    <w:p>
      <w:pPr>
        <w:numPr>
          <w:ilvl w:val="0"/>
          <w:numId w:val="4"/>
        </w:numPr>
        <w:spacing w:line="540" w:lineRule="exact"/>
        <w:ind w:left="0" w:firstLine="320" w:leftChars="0" w:firstLineChars="100"/>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绩效评价工作过程</w:t>
      </w:r>
    </w:p>
    <w:p>
      <w:pPr>
        <w:numPr>
          <w:ilvl w:val="0"/>
          <w:numId w:val="5"/>
        </w:numPr>
        <w:spacing w:line="540" w:lineRule="exact"/>
        <w:ind w:firstLine="320" w:firstLineChars="1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前期准备与规划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组成员由单位主要领导、各科室主要负责人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（2）指标体系构建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（3）数据收集与整理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广泛收集与项目相关的各类数据，包括财务报表、项目文档、业务数据、满意度调查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（4）数据分析与评估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numPr>
          <w:ilvl w:val="0"/>
          <w:numId w:val="0"/>
        </w:numPr>
        <w:spacing w:line="540" w:lineRule="exact"/>
        <w:ind w:firstLine="320" w:firstLineChars="1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（5）报告撰写与反馈</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（6）后续跟踪与改进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320" w:firstLineChars="1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（一）评价情况</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2024年基本公共卫生服务补助资金项目在居民可以免费享受基本公共卫生服务14项服务内容，包括居民健康档案管理，健康教育，预防接种，传染病及突发公共卫生事件报告和处理，0-6儿童管理，孕产妇健康管理，65岁以老年人健康管理，严重精神障碍患者管理，卫生计生监督协管、慢性病患者健康管理、结核病患者健康管理、中医药健康管理、免费提供避孕药具、健康素养促进行动等14项服务等方面表现出色，达到了预期的标准与要求。同时，项目也在公共卫生领域取得了显著的成效，如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等。在项目管理方面，裕民县吉也克镇卫生院通过有效的规划、组织与协调，项目得以顺利实施，并在预算与时间上保持了良好的控制。从项目效益的角度来看，本项目不仅实现了预期的社会效益等方面产生了积极的影响。具体而言，辖区居民综合知晓率、辖区居民满意度等方面的提升，为项目的利益相关者带来了实实在在的利益。综上所述，2024年基本公共卫生服务补助资金项目在绩效评价中表现出色，达到了项目的预期目标，并在多个方面取得了显著的成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（二）评价结论</w:t>
      </w:r>
    </w:p>
    <w:p>
      <w:pPr>
        <w:spacing w:line="540" w:lineRule="exact"/>
        <w:ind w:firstLine="640" w:firstLineChars="200"/>
        <w:rPr>
          <w:rStyle w:val="Strong"/>
          <w:rFonts w:ascii="楷体" w:eastAsia="楷体" w:hAnsi="楷体" w:hint="eastAsia"/>
          <w:b w:val="0"/>
          <w:bCs w:val="0"/>
          <w:spacing w:val="-4"/>
          <w:sz w:val="32"/>
          <w:szCs w:val="32"/>
          <w:lang w:val="en-US" w:eastAsia="zh-CN"/>
        </w:rPr>
      </w:pP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90分，属于“优”。其中，项目产出类指标权重为40分，得分为 40分，得分率为 100%。项目成本类指标权重为20分，得分为20分，得分率为100%。项目效益类指标权重为20分，得分为20分，得分率为 100%。项目满意度指标权重为10分，得分为10分，得分率为100%。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具体打分情况详见：附件1综合评分表。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表1综合评分表</w:t>
      </w:r>
      <w:r>
        <w:rPr>
          <w:rStyle w:val="Strong"/>
          <w:rFonts w:ascii="楷体" w:eastAsia="楷体" w:hAnsi="楷体" w:hint="eastAsia"/>
          <w:b w:val="0"/>
          <w:bCs w:val="0"/>
          <w:spacing w:val="-4"/>
          <w:sz w:val="32"/>
          <w:szCs w:val="32"/>
          <w:lang w:val="en-US" w:eastAsia="zh-CN"/>
        </w:rPr>
        <w:t xml:space="preserve"> </w:t>
      </w:r>
    </w:p>
    <w:p>
      <w:pPr>
        <w:spacing w:line="540" w:lineRule="exact"/>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一级指标</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权重分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得分率</w:t>
      </w:r>
      <w:r>
        <w:cr/>
      </w:r>
      <w:r>
        <w:rPr>
          <w:rStyle w:val="Strong"/>
          <w:rFonts w:ascii="楷体" w:eastAsia="楷体" w:hAnsi="楷体" w:hint="eastAsia"/>
          <w:b w:val="0"/>
          <w:bCs w:val="0"/>
          <w:spacing w:val="-4"/>
          <w:sz w:val="32"/>
          <w:szCs w:val="32"/>
        </w:rPr>
        <w:t xml:space="preserve">项目产出</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项目成本</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Style w:val="Strong"/>
          <w:rFonts w:ascii="楷体" w:eastAsia="楷体" w:hAnsi="楷体" w:hint="eastAsia"/>
          <w:b w:val="0"/>
          <w:bCs w:val="0"/>
          <w:spacing w:val="-4"/>
          <w:sz w:val="32"/>
          <w:szCs w:val="32"/>
        </w:rPr>
        <w:t xml:space="preserve">项目效益</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Style w:val="Strong"/>
          <w:rFonts w:ascii="楷体" w:eastAsia="楷体" w:hAnsi="楷体" w:hint="eastAsia"/>
          <w:b w:val="0"/>
          <w:bCs w:val="0"/>
          <w:spacing w:val="-4"/>
          <w:sz w:val="32"/>
          <w:szCs w:val="32"/>
        </w:rPr>
        <w:t xml:space="preserve">合计</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90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90</w:t>
      </w:r>
      <w:r>
        <w:rPr>
          <w:rStyle w:val="Strong"/>
          <w:rFonts w:ascii="楷体" w:eastAsia="楷体" w:hAnsi="楷体" w:hint="eastAsia"/>
          <w:b w:val="0"/>
          <w:bCs w:val="0"/>
          <w:spacing w:val="-4"/>
          <w:sz w:val="32"/>
          <w:szCs w:val="32"/>
        </w:rPr>
        <w:tab/>
      </w:r>
    </w:p>
    <w:p>
      <w:pPr>
        <w:spacing w:line="540" w:lineRule="exact"/>
        <w:ind w:firstLine="640" w:firstLineChars="20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320" w:firstLineChars="100"/>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640" w:firstLineChars="200"/>
        <w:rPr>
          <w:rStyle w:val="Strong"/>
          <w:rFonts w:ascii="楷体" w:eastAsia="楷体" w:hAnsi="楷体" w:hint="eastAsia"/>
          <w:b w:val="0"/>
          <w:bCs w:val="0"/>
          <w:spacing w:val="-4"/>
          <w:sz w:val="32"/>
          <w:szCs w:val="32"/>
          <w:lang w:val="en-US" w:eastAsia="zh-CN"/>
        </w:rPr>
      </w:pPr>
      <w:r>
        <w:rPr>
          <w:rStyle w:val="Strong"/>
          <w:rFonts w:ascii="楷体" w:eastAsia="楷体" w:hAnsi="楷体" w:hint="eastAsia"/>
          <w:b w:val="0"/>
          <w:bCs w:val="0"/>
          <w:spacing w:val="-4"/>
          <w:sz w:val="32"/>
          <w:szCs w:val="32"/>
        </w:rPr>
        <w:t xml:space="preserve">项目产出类指标包括项目立项、绩效目标和资金投入三方面的内容，由9个三级指标构成，权重分值为40分，实际得分40分，得分率为100%。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1.项目立项</w:t>
      </w:r>
      <w:r>
        <w:rPr>
          <w:rStyle w:val="Strong"/>
          <w:rFonts w:ascii="楷体" w:eastAsia="楷体" w:hAnsi="楷体" w:hint="eastAsia"/>
          <w:b w:val="0"/>
          <w:bCs w:val="0"/>
          <w:spacing w:val="-4"/>
          <w:sz w:val="32"/>
          <w:szCs w:val="32"/>
          <w:lang w:val="en-US" w:eastAsia="zh-CN"/>
        </w:rPr>
        <w:t xml:space="preserve">  </w:t>
      </w:r>
    </w:p>
    <w:p>
      <w:pPr>
        <w:tabs>
          <w:tab w:val="center" w:pos="4295"/>
        </w:tabs>
        <w:spacing w:line="540" w:lineRule="exact"/>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立项符合国家相关法律法规根据塔地财社[2023]25号2023年中央基本公共卫生补助、塔地财社[2023]93号2024年中央基本公共卫生、塔地财社[2023]94号2024年自治区基本公共卫生服务补助资金、塔地财社［2024］20号2024年中央基本公共卫生服务补助资金第二批、2024年县级配套资金、塔地财社[2024]10号2024年自治区基本公共卫生补助项目的要求，围绕本年度工作重点和工作计划制定经费预算，属于公共财政支持范围。本项目与部门内部其他相关项目不重复。部门发展规划及职能文件等归档完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工作计划和经费预算，经过与单位主要领导沟通、筛选确定经费预算计划，确定最终预算方案。项目的审批文件、材料符合相关要求，项目事前经过必要的可行性研究、风险评估、绩效评估、集体决策，保障了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（2）</w:t>
      </w:r>
      <w:r>
        <w:rPr>
          <w:rStyle w:val="Strong"/>
          <w:rFonts w:ascii="楷体" w:eastAsia="楷体" w:hAnsi="楷体" w:hint="eastAsia"/>
          <w:b w:val="0"/>
          <w:bCs w:val="0"/>
          <w:spacing w:val="-4"/>
          <w:sz w:val="32"/>
          <w:szCs w:val="32"/>
        </w:rPr>
        <w:t xml:space="preserve">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3.资金投入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spacing w:line="540" w:lineRule="exact"/>
        <w:ind w:firstLine="320" w:firstLineChars="100"/>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项目过程类指标包括资金管理和组织实施两方面的内容，由6个三级指标构成，权重分值为20分，实际得分20分，得分率为100%。</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本项目总投资44.7万元，财政资金及时足额到位，到位率100%，预算资金按计划进度执行。</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预算编制较为详细，项目资金支出总体能够按照预算执行，预算资金支出44.7万元，预算执行率为100%。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资金使用严格遵循了根据塔地财社[2023]25号2023年中央基本公共卫生补助、塔地财社[2023]93号2024年中央基本公共卫生、塔地财社[2023]94号2024年自治区基本公共卫生服务补助资金、塔地财社［2024］20号2024年中央基本公共卫生服务补助资金第二批、2024年县级配套资金、塔地财社[2024]10号2024年自治区基本公共卫生补助项目文件，确保了资金的合规性与安全性。在资金使用过程中，我们建立了完善的财务管理体系，对资金的流动进行了全程监控与记录。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在制度设计上，我们注重了制度的科学性与可操作性，确保制度能够切实指导项目的执行与管理。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综上所述，本项目的管理制度在执行过程中表现出了高度的有效性，既确保了项目的顺利进行，又实现了项目目标的有效达成。</w:t>
      </w:r>
    </w:p>
    <w:p>
      <w:pPr>
        <w:spacing w:line="540" w:lineRule="exact"/>
        <w:ind w:firstLine="320" w:firstLineChars="100"/>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项目产出类指标包括产出数量、产出质量、产出时效、产出成本四方面的内容，由15个三级指标构成，权重分为40分，实际得分40分，得分率为100%。具体产出指标完成情况如下：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指标1：孕产妇及0-6岁儿童体检管理率，指标值：&gt;=90%，实际完成值：100%，指标完成率100%。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指标2：健康教育讲座及公众咨询次数，指标值：&gt;=60次，实际完成值：60次，指标完成率100%。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指标3：高血压规范管理率，指标值：&gt;=80%，实际完成值：80.55%，指标完成率100.69%。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指标4：Ⅱ型糖尿病规范管理率，指标值：&gt;=80%，实际完成值：88.59%，指标完成率110.74%。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指标5：适龄儿童国家免疫规划疫苗接种率，指标值：&gt;=80%，实际完成值：91.63%，指标完成率114.54%。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指标6：老年人健康管理率，指标值：&gt;=67%，实际完成值：70.67%，指标完成率105.48%。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指标1：服务宣传覆盖率，指标值：=100%，实际完成值：100%，指标完成率100%。</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指标2：《国家基本公共卫生规范》考核合规率，指标值：=100%，实际完成值：100%，指标完成率100%。</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③时效指标：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指标1：资金支付及时率，指标值：=100%，实际完成值：100%，指标完成率100%。</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④成本指标：</w:t>
      </w:r>
    </w:p>
    <w:p>
      <w:pPr>
        <w:spacing w:line="540" w:lineRule="exact"/>
        <w:ind w:firstLine="640"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指标1：孕产妇及0-6岁儿童体检管理资金，指标值：&lt;=4.26万元，实际完成值：4.26万元，指标完成率100%。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指标2：健康教育讲座及公众咨询经费，指标值：&lt;=7.1万元，实际完成值：7.1万元，指标完成率100%。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指标3：高血压规范管理经费，指标值：&lt;=9.2万元，实际完成值：9.2万元，指标完成率100%。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指标4：Ⅱ型糖尿病规范管理经费，指标值：&lt;=9.5万元，实际完成值：9.5万元，指标完成率100%。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指标5：适龄儿童国家免疫规划疫苗接种经费，指标值：&lt;=6.84万元，实际完成值：6.84万元，指标完成率100%。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指标6：老年人健康管理经费，指标值：&lt;=7.8万元，实际完成值：7.8万元，指标完成率100%。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项目效益类指标包括项目实施效益和满意度两方面的内容，由2个三级指标构成，权重分为30分，实际得分30分，得分率为100%。具体效益指标及满意度指标完成情况如下：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1.实施效益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①社会效益指标：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指标1：辖区居民综合知晓率，指标值：&gt;=95%，实际完成值：95%，指标完成率100%。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2.满意度</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指标1：辖区居民满意度，指标值：&gt;=95%，实际完成值：100%，指标完成率10</w:t>
      </w:r>
      <w:r>
        <w:rPr>
          <w:rStyle w:val="Strong"/>
          <w:rFonts w:ascii="楷体" w:eastAsia="楷体" w:hAnsi="楷体" w:hint="eastAsia"/>
          <w:b w:val="0"/>
          <w:bCs w:val="0"/>
          <w:spacing w:val="-4"/>
          <w:sz w:val="32"/>
          <w:szCs w:val="32"/>
          <w:lang w:val="en-US" w:eastAsia="zh-CN"/>
        </w:rPr>
        <w:t xml:space="preserve">0</w:t>
      </w:r>
      <w:r>
        <w:rPr>
          <w:rStyle w:val="Strong"/>
          <w:rFonts w:ascii="楷体" w:eastAsia="楷体" w:hAnsi="楷体" w:hint="eastAsia"/>
          <w:b w:val="0"/>
          <w:bCs w:val="0"/>
          <w:spacing w:val="-4"/>
          <w:sz w:val="32"/>
          <w:szCs w:val="32"/>
        </w:rPr>
        <w:t xml:space="preserve">%。</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640" w:firstLineChars="200"/>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2024年基本公共卫生服务补助资金项目年初预算5.97万元，全年预算44.7万元，实际支出44.7万元，预算执行率为100%，项目绩效指标总体完成率为100%，总体偏差率为0%。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left="0" w:firstLine="0" w:leftChars="0" w:firstLineChars="0"/>
        <w:textAlignment w:val="auto"/>
        <w:rPr>
          <w:rStyle w:val="Strong"/>
          <w:rFonts w:ascii="楷体" w:eastAsia="楷体" w:hAnsi="楷体" w:hint="eastAsia"/>
          <w:b w:val="0"/>
          <w:bCs w:val="0"/>
          <w:spacing w:val="-4"/>
          <w:sz w:val="32"/>
          <w:szCs w:val="32"/>
          <w:lang w:val="en-US" w:eastAsia="zh-CN"/>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color w:val="FFFFFF" w:themeColor="background1"/>
          <w:spacing w:val="-4"/>
          <w:sz w:val="32"/>
          <w:szCs w:val="32"/>
          <w:lang w:eastAsia="zh-CN"/>
          <w14:textFill>
            <w14:solidFill>
              <w14:schemeClr w14:val="bg1"/>
            </w14:solidFill>
          </w14:textFill>
        </w:rPr>
        <w:t xml:space="preserve">为了</w:t>
      </w:r>
      <w:r>
        <w:rPr>
          <w:rStyle w:val="Strong"/>
          <w:rFonts w:ascii="楷体" w:eastAsia="楷体" w:hAnsi="楷体" w:hint="eastAsia"/>
          <w:b w:val="0"/>
          <w:bCs w:val="0"/>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b w:val="0"/>
          <w:bCs w:val="0"/>
          <w:spacing w:val="-4"/>
          <w:sz w:val="32"/>
          <w:szCs w:val="32"/>
        </w:rPr>
        <w:br/>
      </w:r>
      <w:bookmarkStart w:id="0" w:name="_GoBack"/>
      <w:bookmarkEnd w:id="0"/>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绩效档案归档工作有待提高，财务人员业务素质有待进一步提高。由于财务人员非本专业人员，缺乏系统学习、培训，对部分财务专业用词理解不充分，由此造成操作财务相关系统时咨询他人，造成工作出现延后情。</w:t>
      </w:r>
    </w:p>
    <w:p>
      <w:pPr>
        <w:spacing w:line="540" w:lineRule="exact"/>
        <w:ind w:firstLine="640" w:firstLineChars="20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640" w:firstLineChars="200"/>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1.加强培训，提高相关人员工作水平，不定期开展财务业务方面的培训，加强本单位财务人员的专业知识及职业素养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2.进一步规范项目建设的程序。项目前期做好可行性研究报告，更加细化实施方案，严格执行资金管理办法和财政资金管理制度，严格按照项目实施方案稳步推进工作，单位根据自己项目的特点进行总结。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chineseCounting"/>
      <w:suff w:val="nothing"/>
      <w:lvlText w:val="%1、"/>
      <w:lvlJc w:val="left"/>
      <w:rPr>
        <w:rFonts w:hint="eastAsia"/>
      </w:rPr>
    </w:lvl>
  </w:abstractNum>
  <w:abstractNum w:abstractNumId="3">
    <w:multiLevelType w:val="singleLevel"/>
    <w:lvl w:ilvl="0">
      <w:start w:val="1"/>
      <w:numFmt w:val="chineseCounting"/>
      <w:suff w:val="nothing"/>
      <w:lvlText w:val="（%1）"/>
      <w:lvlJc w:val="left"/>
      <w:rPr>
        <w:rFonts w:hint="eastAsia"/>
      </w:rPr>
    </w:lvl>
  </w:abstractNum>
  <w:abstractNum w:abstractNumId="4">
    <w:multiLevelType w:val="singleLevel"/>
    <w:lvl w:ilvl="0">
      <w:start w:val="1"/>
      <w:numFmt w:val="decimal"/>
      <w:suff w:val="nothing"/>
      <w:lvlText w:val="（%1）"/>
      <w:lvlJc w:val="left"/>
      <w:rPr/>
    </w:lvl>
  </w:abstractNum>
  <w:abstractNum w:abstractNumId="5">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76"/>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4C4DD2482959476ABF5089DED2192CE4_13</vt:lpwstr>
  </property>
  <property fmtid="{D5CDD505-2E9C-101B-9397-08002B2CF9AE}" pid="4" name="KSOTemplateDocerSaveRecord">
    <vt:lpwstr>eyJoZGlkIjoiNDY2OTMyNGMyN2EzYzcxNDNmMDdlYzA4ZmI3ZmEyMmYifQ==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14</TotalTime>
  <Pages>21</Pages>
  <Words>10391</Words>
  <Characters>11000</Characters>
  <Application>WPS Office_12.1.0.22089_F1E327BC-269C-435d-A152-05C5408002CA</Application>
  <DocSecurity>0</DocSecurity>
  <Lines>5</Lines>
  <Paragraphs>1</Paragraphs>
  <CharactersWithSpaces>11293</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19</cp:revision>
  <cp:lastPrinted>2018-12-31T10:56:00Z</cp:lastPrinted>
  <dcterms:created xsi:type="dcterms:W3CDTF">2018-08-15T02:06:00Z</dcterms:created>
  <dcterms:modified xsi:type="dcterms:W3CDTF">2025-08-19T08:35:11Z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2052-12.1.0.22089</vt:lpwstr>
  </property>
  <property fmtid="{D5CDD505-2E9C-101B-9397-08002B2CF9AE}" pid="3" name="ICV">
    <vt:lpwstr>4C4DD2482959476ABF5089DED2192CE4_13</vt:lpwstr>
  </property>
  <property fmtid="{D5CDD505-2E9C-101B-9397-08002B2CF9AE}" pid="4" name="KSOTemplateDocerSaveRecord">
    <vt:lpwstr>eyJoZGlkIjoiNDY2OTMyNGMyN2EzYzcxNDNmMDdlYzA4ZmI3ZmEyMmYifQ_x003D__x003D_</vt:lpwstr>
  </property>
</Properties>
</file>