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widowControl/>
        <w:jc w:val="left"/>
        <w:rPr>
          <w:rFonts w:hint="eastAsia" w:ascii="黑体" w:hAnsi="黑体" w:eastAsia="黑体" w:cs="宋体"/>
          <w:color w:val="333333"/>
          <w:sz w:val="32"/>
          <w:szCs w:val="32"/>
        </w:rPr>
      </w:pPr>
      <w:r>
        <w:rPr>
          <w:rFonts w:hint="eastAsia" w:ascii="黑体" w:hAnsi="黑体" w:eastAsia="黑体" w:cs="宋体"/>
          <w:color w:val="333333"/>
          <w:sz w:val="32"/>
          <w:szCs w:val="32"/>
        </w:rPr>
        <w:t>附件4：</w:t>
      </w: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基本概况</w:t>
      </w:r>
    </w:p>
    <w:p>
      <w:pPr>
        <w:snapToGrid w:val="0"/>
        <w:spacing w:line="540" w:lineRule="exact"/>
        <w:ind w:left="993"/>
        <w:rPr>
          <w:rFonts w:hint="eastAsia" w:ascii="黑体" w:hAnsi="黑体" w:eastAsia="黑体" w:cs="宋体"/>
          <w:bCs/>
          <w:color w:val="333333"/>
          <w:sz w:val="32"/>
          <w:szCs w:val="32"/>
        </w:rPr>
      </w:pPr>
      <w:r>
        <w:rPr>
          <w:rStyle w:val="8"/>
          <w:rFonts w:hint="eastAsia" w:ascii="楷体" w:hAnsi="楷体" w:eastAsia="楷体" w:cs="楷体"/>
          <w:b w:val="0"/>
          <w:spacing w:val="-4"/>
          <w:sz w:val="32"/>
          <w:szCs w:val="32"/>
        </w:rPr>
        <w:t>(</w:t>
      </w:r>
      <w:bookmarkStart w:id="0" w:name="_Hlk199153249"/>
      <w:r>
        <w:rPr>
          <w:rStyle w:val="8"/>
          <w:rFonts w:hint="eastAsia" w:ascii="楷体" w:hAnsi="楷体" w:eastAsia="楷体" w:cs="楷体"/>
          <w:b w:val="0"/>
          <w:spacing w:val="-4"/>
          <w:sz w:val="32"/>
          <w:szCs w:val="32"/>
        </w:rPr>
        <w:t>一)</w:t>
      </w:r>
      <w:bookmarkEnd w:id="0"/>
      <w:r>
        <w:rPr>
          <w:rFonts w:hint="eastAsia" w:ascii="黑体" w:hAnsi="黑体" w:eastAsia="黑体" w:cs="宋体"/>
          <w:bCs/>
          <w:color w:val="333333"/>
          <w:sz w:val="32"/>
          <w:szCs w:val="32"/>
        </w:rPr>
        <w:t>部门单位基本情况: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1.主要职能</w:t>
      </w:r>
      <w:r>
        <w:cr/>
      </w:r>
      <w:r>
        <w:rPr>
          <w:rFonts w:hint="eastAsia" w:ascii="仿宋_GB2312" w:hAnsi="宋体" w:eastAsia="仿宋_GB2312"/>
          <w:b/>
          <w:sz w:val="32"/>
          <w:szCs w:val="32"/>
        </w:rPr>
        <w:br w:type="textWrapping"/>
      </w:r>
      <w:r>
        <w:rPr>
          <w:rFonts w:hint="eastAsia" w:ascii="仿宋_GB2312" w:hAnsi="宋体" w:eastAsia="仿宋_GB2312"/>
          <w:b/>
          <w:sz w:val="32"/>
          <w:szCs w:val="32"/>
        </w:rPr>
        <w:t>裕民县吉也克镇人民政府的主要职能是：</w:t>
      </w:r>
      <w:r>
        <w:cr/>
      </w:r>
      <w:r>
        <w:rPr>
          <w:rFonts w:hint="eastAsia" w:ascii="仿宋_GB2312" w:hAnsi="宋体" w:eastAsia="仿宋_GB2312"/>
          <w:b/>
          <w:sz w:val="32"/>
          <w:szCs w:val="32"/>
        </w:rPr>
        <w:br w:type="textWrapping"/>
      </w:r>
      <w:r>
        <w:rPr>
          <w:rFonts w:hint="eastAsia" w:ascii="仿宋_GB2312" w:hAnsi="宋体" w:eastAsia="仿宋_GB2312"/>
          <w:b/>
          <w:sz w:val="32"/>
          <w:szCs w:val="32"/>
        </w:rPr>
        <w:t>(一)宣传和贯彻执行党的路线、方针、政策和国家的法律、法规;宣传和贯彻上级党委、政府的政策、法规、决定、决议等;执行本级党代会和人代会的决定、决议。(二)为经济发展提供服务。制定经济发展和产业发展规划、计划并组织实施;营造经济发展环境，提供示范引导和政策服务;指导经济结构调整和推进经济增长方式转变;促进区域特色经济的发展;加强农村基础设施建设和新型农村服务体系建设，落实强农惠农政策措施，着力解决群众生产生活中的突出问题，切实维护农牧民合法权益;加强农村合作经济管理，引导和促进新型农村专业合作经济组织发展。(三)为群众提供公共服务。制定区域内各项社会事业发展规划;完善社会化服务体系，提供政策、科技、信息、就业培训等服务，引导农村富余劳动力有序转移，完善农村社会保障体系，做好最低生活保障、五保老人供养、贫困家庭子女义务教育免费入学、失地农民基本生活保障、新型农村合作医疗和劳动保障等工作;完善卫生服务体系，加强卫生监督、疫病防控、医疗卫生等事业建设;加快教育、科技、卫生、文化体育广播影视事业以及农田水利、乡村道路、生态环境等各项公益事业发展。(四)加强社会事务管理。负责区域内的教育科技、劳动社会保障、民政、文化体育广播影视、卫生、</w:t>
      </w:r>
      <w:r>
        <w:rPr>
          <w:rFonts w:hint="eastAsia" w:ascii="仿宋_GB2312" w:hAnsi="宋体" w:eastAsia="仿宋_GB2312"/>
          <w:b/>
          <w:sz w:val="32"/>
          <w:szCs w:val="32"/>
          <w:lang w:eastAsia="zh-CN"/>
        </w:rPr>
        <w:t>JHSY</w:t>
      </w:r>
      <w:r>
        <w:rPr>
          <w:rFonts w:hint="eastAsia" w:ascii="仿宋_GB2312" w:hAnsi="宋体" w:eastAsia="仿宋_GB2312"/>
          <w:b/>
          <w:sz w:val="32"/>
          <w:szCs w:val="32"/>
        </w:rPr>
        <w:t>等社会事务管理工作;负责区域内社团和经济组织的管理，发挥社团、行业组织和社会中介组织的作用;依法履行上级赋予的行政处罚和监督管理权，配合上级行政执法主体做好有关行政执法工作。(五)加强社会管理综合治理，维护社会稳定。强化法治宣传教育，开展民主法治村和平安镇等创建活动;构建公共安全防控体系，做好安全生产、防汛、防火、防疫、食品上药品安全等各项工作;提供法律服务，构建权益保障体系，依法保护各类经济组织和公民的合法权益;构建民间矛盾纠纷调处体系，做好基层信访调解工作，化解农村社会矛盾,确保社会稳定。(六)加强基层组织管理，扩大基层民主。健全村级党组织领导下的充满活力的村民自治机制，推进村务、财务公开;建立健全村级财富积累机制，壮大集体经济实力;扩大农村基层民主，推进农村民主政治建设。</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2.机构设置及人员情况</w:t>
      </w:r>
      <w:r>
        <w:cr/>
      </w:r>
      <w:r>
        <w:rPr>
          <w:rFonts w:hint="eastAsia" w:ascii="仿宋_GB2312" w:hAnsi="宋体" w:eastAsia="仿宋_GB2312"/>
          <w:b/>
          <w:sz w:val="32"/>
          <w:szCs w:val="32"/>
        </w:rPr>
        <w:br w:type="textWrapping"/>
      </w:r>
      <w:r>
        <w:rPr>
          <w:rFonts w:hint="eastAsia" w:ascii="仿宋_GB2312" w:hAnsi="宋体" w:eastAsia="仿宋_GB2312"/>
          <w:b/>
          <w:sz w:val="32"/>
          <w:szCs w:val="32"/>
        </w:rPr>
        <w:t>裕民县吉也克镇人民政府为行政单位下设5个处室，分别是：农业发展服务中心、村镇建设发展中心、便民服务中心、公共文化服务中心、综治和网格化服务中心。。</w:t>
      </w:r>
      <w:r>
        <w:cr/>
      </w:r>
      <w:r>
        <w:rPr>
          <w:rFonts w:hint="eastAsia" w:ascii="仿宋_GB2312" w:hAnsi="宋体" w:eastAsia="仿宋_GB2312"/>
          <w:b/>
          <w:sz w:val="32"/>
          <w:szCs w:val="32"/>
        </w:rPr>
        <w:br w:type="textWrapping"/>
      </w:r>
      <w:r>
        <w:rPr>
          <w:rFonts w:hint="eastAsia" w:ascii="仿宋_GB2312" w:hAnsi="宋体" w:eastAsia="仿宋_GB2312"/>
          <w:b/>
          <w:sz w:val="32"/>
          <w:szCs w:val="32"/>
        </w:rPr>
        <w:t>裕民县吉也克镇人民政府编制数84，实有人数106人，其中：在职66人，减少11人；退休40人，增加6人；离休0人，增加0人。</w:t>
      </w:r>
      <w:bookmarkStart w:id="1" w:name="_Hlk43849111"/>
      <w:bookmarkEnd w:id="1"/>
    </w:p>
    <w:p>
      <w:pPr>
        <w:spacing w:line="600" w:lineRule="exact"/>
        <w:ind w:firstLine="992" w:firstLineChars="318"/>
        <w:jc w:val="left"/>
        <w:rPr>
          <w:rFonts w:hint="eastAsia" w:ascii="黑体" w:hAnsi="黑体" w:eastAsia="黑体" w:cs="宋体"/>
          <w:bCs/>
          <w:color w:val="333333"/>
          <w:sz w:val="32"/>
          <w:szCs w:val="32"/>
        </w:rPr>
      </w:pPr>
      <w:r>
        <w:rPr>
          <w:rStyle w:val="8"/>
          <w:rFonts w:hint="eastAsia" w:ascii="楷体" w:hAnsi="楷体" w:eastAsia="楷体" w:cs="楷体"/>
          <w:b w:val="0"/>
          <w:spacing w:val="-4"/>
          <w:sz w:val="32"/>
          <w:szCs w:val="32"/>
        </w:rPr>
        <w:t>(二)</w:t>
      </w:r>
      <w:r>
        <w:rPr>
          <w:rFonts w:hint="eastAsia" w:ascii="黑体" w:hAnsi="黑体" w:eastAsia="黑体" w:cs="宋体"/>
          <w:bCs/>
          <w:color w:val="333333"/>
          <w:sz w:val="32"/>
          <w:szCs w:val="32"/>
        </w:rPr>
        <w:t>部门单位年度重点工作：</w:t>
      </w:r>
    </w:p>
    <w:p>
      <w:pPr>
        <w:spacing w:line="600" w:lineRule="exact"/>
        <w:ind w:left="1273" w:leftChars="606" w:firstLine="2"/>
        <w:jc w:val="left"/>
        <w:rPr>
          <w:rFonts w:hint="eastAsia" w:ascii="仿宋_GB2312" w:hAnsi="宋体" w:eastAsia="仿宋_GB2312"/>
          <w:b/>
          <w:sz w:val="32"/>
          <w:szCs w:val="32"/>
        </w:rPr>
      </w:pPr>
      <w:r>
        <w:rPr>
          <w:rFonts w:hint="eastAsia" w:ascii="仿宋_GB2312" w:hAnsi="宋体" w:eastAsia="仿宋_GB2312"/>
          <w:b/>
          <w:sz w:val="32"/>
          <w:szCs w:val="32"/>
        </w:rPr>
        <w:t>1.年度总体目标</w:t>
      </w:r>
      <w:r>
        <w:cr/>
      </w:r>
      <w:r>
        <w:rPr>
          <w:rFonts w:hint="eastAsia" w:ascii="仿宋_GB2312" w:hAnsi="宋体" w:eastAsia="仿宋_GB2312"/>
          <w:b/>
          <w:sz w:val="32"/>
          <w:szCs w:val="32"/>
        </w:rPr>
        <w:br w:type="textWrapping"/>
      </w:r>
      <w:r>
        <w:rPr>
          <w:rFonts w:hint="eastAsia" w:ascii="仿宋_GB2312" w:hAnsi="宋体" w:eastAsia="仿宋_GB2312"/>
          <w:b/>
          <w:sz w:val="32"/>
          <w:szCs w:val="32"/>
        </w:rPr>
        <w:t>保障镇政府人员工资及时发放，日常办公活动正常开展，人员补助及时发放，本行政区域内的民政、</w:t>
      </w:r>
      <w:r>
        <w:rPr>
          <w:rFonts w:hint="eastAsia" w:ascii="仿宋_GB2312" w:hAnsi="宋体" w:eastAsia="仿宋_GB2312"/>
          <w:b/>
          <w:sz w:val="32"/>
          <w:szCs w:val="32"/>
          <w:lang w:eastAsia="zh-CN"/>
        </w:rPr>
        <w:t>JHSY</w:t>
      </w:r>
      <w:r>
        <w:rPr>
          <w:rFonts w:hint="eastAsia" w:ascii="仿宋_GB2312" w:hAnsi="宋体" w:eastAsia="仿宋_GB2312"/>
          <w:b/>
          <w:sz w:val="32"/>
          <w:szCs w:val="32"/>
        </w:rPr>
        <w:t>、文化教育、卫生、体育等社会公益事业的综合性工作，维护一切经济单位和个人的正当经济权益，取缔非法经济活动，调解和处理民事纠纷，打击刑事犯罪维护社会稳定。切实提高乡政府行政运行能力。为提升乡政府基层政权建设，改善村容村貌，提升群众幸福指数，协调好本乡经济交流与合作，项目开发，不断培育市场体系，组织经济运行，促进经济发展，制定并组织实施乡村建设规划，重点工程建设，地方道路建设及公共设施，水利设施的管理，负责土地、林木、水等自然资源和生态环境的保护，做好护林防火工作。切实推进各项目支出正常运行。</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2.重点工作计划</w:t>
      </w:r>
      <w:r>
        <w:cr/>
      </w:r>
      <w:r>
        <w:rPr>
          <w:rFonts w:hint="eastAsia" w:ascii="仿宋_GB2312" w:hAnsi="宋体" w:eastAsia="仿宋_GB2312"/>
          <w:b/>
          <w:sz w:val="32"/>
          <w:szCs w:val="32"/>
        </w:rPr>
        <w:br w:type="textWrapping"/>
      </w:r>
      <w:r>
        <w:rPr>
          <w:rFonts w:hint="eastAsia" w:ascii="仿宋_GB2312" w:hAnsi="宋体" w:eastAsia="仿宋_GB2312"/>
          <w:b/>
          <w:sz w:val="32"/>
          <w:szCs w:val="32"/>
        </w:rPr>
        <w:t>一是贯彻新发展理念，推动镇村振兴。围绕“产业兴旺、生态宜居、镇风文明、治理有效、生活富裕”总要求，积极融入塔城重点开发开放试验区建设，在</w:t>
      </w:r>
      <w:bookmarkStart w:id="2" w:name="_GoBack"/>
      <w:bookmarkEnd w:id="2"/>
      <w:r>
        <w:rPr>
          <w:rFonts w:hint="eastAsia" w:ascii="仿宋_GB2312" w:hAnsi="宋体" w:eastAsia="仿宋_GB2312"/>
          <w:b/>
          <w:sz w:val="32"/>
          <w:szCs w:val="32"/>
        </w:rPr>
        <w:t>巩固拓展脱贫攻坚成果</w:t>
      </w:r>
      <w:r>
        <w:rPr>
          <w:rFonts w:hint="eastAsia" w:ascii="仿宋_GB2312" w:hAnsi="宋体" w:eastAsia="仿宋_GB2312"/>
          <w:b/>
          <w:sz w:val="32"/>
          <w:szCs w:val="32"/>
          <w:lang w:eastAsia="zh-CN"/>
        </w:rPr>
        <w:t>同</w:t>
      </w:r>
      <w:r>
        <w:rPr>
          <w:rFonts w:hint="eastAsia" w:ascii="仿宋_GB2312" w:hAnsi="宋体" w:eastAsia="仿宋_GB2312"/>
          <w:b/>
          <w:sz w:val="32"/>
          <w:szCs w:val="32"/>
        </w:rPr>
        <w:t>镇村振兴有效衔接上持续用力，对全镇12个村队科学划分为成熟型、成长型、待哺型村队，梯次进行，稳步推进美丽镇村建设，实现农业高质高效、镇村宜居宜业、农民富裕富足。二是调整优化产业结构。按照“稳粮、促畜、强果、兴特色”的要求，加大调结构、转方式力度，稳定粮食生产，发展现代畜牧业，做大做强特色林果业，扩大特色优势产业，提高农业综合生产能力，构建现代农业经营体系，积极发展“一村一品”，发展我镇农牧户庭院经济，推进农畜产品深加工，打造吉也克镇人民政府特色产业。</w:t>
      </w:r>
    </w:p>
    <w:p>
      <w:pPr>
        <w:snapToGrid w:val="0"/>
        <w:spacing w:line="540" w:lineRule="exact"/>
        <w:ind w:left="993"/>
        <w:rPr>
          <w:rFonts w:hint="eastAsia" w:ascii="黑体" w:hAnsi="黑体" w:eastAsia="黑体" w:cs="宋体"/>
          <w:b/>
          <w:color w:val="333333"/>
          <w:sz w:val="32"/>
          <w:szCs w:val="32"/>
        </w:rPr>
      </w:pPr>
      <w:r>
        <w:rPr>
          <w:rStyle w:val="8"/>
          <w:rFonts w:hint="eastAsia" w:ascii="楷体" w:hAnsi="楷体" w:eastAsia="楷体" w:cs="楷体"/>
          <w:b w:val="0"/>
          <w:spacing w:val="-4"/>
          <w:sz w:val="32"/>
          <w:szCs w:val="32"/>
        </w:rPr>
        <w:t>(三)</w:t>
      </w:r>
      <w:r>
        <w:rPr>
          <w:rFonts w:hint="eastAsia" w:ascii="黑体" w:hAnsi="黑体" w:eastAsia="黑体" w:cs="宋体"/>
          <w:bCs/>
          <w:color w:val="333333"/>
          <w:sz w:val="32"/>
          <w:szCs w:val="32"/>
        </w:rPr>
        <w:t>部门单位整体预算规模及安排情况：</w:t>
      </w:r>
    </w:p>
    <w:p>
      <w:pPr>
        <w:spacing w:line="600" w:lineRule="exact"/>
        <w:ind w:left="1273" w:leftChars="606" w:firstLine="3" w:firstLineChars="1"/>
        <w:jc w:val="left"/>
        <w:rPr>
          <w:rFonts w:hint="eastAsia" w:ascii="仿宋_GB2312" w:hAnsi="宋体" w:eastAsia="仿宋_GB2312"/>
          <w:b/>
          <w:sz w:val="32"/>
          <w:szCs w:val="32"/>
        </w:rPr>
      </w:pPr>
      <w:r>
        <w:rPr>
          <w:rFonts w:hint="eastAsia" w:ascii="仿宋_GB2312" w:hAnsi="宋体" w:eastAsia="仿宋_GB2312"/>
          <w:b/>
          <w:sz w:val="32"/>
          <w:szCs w:val="32"/>
        </w:rPr>
        <w:t>2024年裕民县吉也克镇人民政府年初预算安排2796.82万元，其中财政拨款2796.12万元，其他资金0万元，主要用于工资福利支出、商品和服务支出、对个人和家庭的补助支出及保障单位基本办公需求；公共管理事务类项目和发展建设类项目，公共管理事务类项目用于社会管理、公共事业发展、社会保障等方面的项目资金。发展建设类项目用于城乡公共基础设施和社会事业建设与维护等方面的项目资金。</w:t>
      </w:r>
      <w:r>
        <w:cr/>
      </w:r>
      <w:r>
        <w:rPr>
          <w:rFonts w:hint="eastAsia" w:ascii="仿宋_GB2312" w:hAnsi="宋体" w:eastAsia="仿宋_GB2312"/>
          <w:b/>
          <w:sz w:val="32"/>
          <w:szCs w:val="32"/>
        </w:rPr>
        <w:br w:type="textWrapping"/>
      </w:r>
      <w:r>
        <w:rPr>
          <w:rFonts w:hint="eastAsia" w:ascii="仿宋_GB2312" w:hAnsi="宋体" w:eastAsia="仿宋_GB2312"/>
          <w:b/>
          <w:sz w:val="32"/>
          <w:szCs w:val="32"/>
        </w:rPr>
        <w:t>年中调整1043.3万元，调整后全年预算3840.12万元，预算调整率37.3%，调整预算的主要原因为年中追加项目预算。</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部门单位整体支出管理及使用情况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（一）部门单位整体支出管理情况</w:t>
      </w:r>
      <w: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2.预算执行</w:t>
      </w:r>
      <w:r>
        <w:cr/>
      </w:r>
      <w:r>
        <w:rPr>
          <w:rFonts w:hint="eastAsia" w:ascii="仿宋_GB2312" w:hAnsi="宋体" w:eastAsia="仿宋_GB2312"/>
          <w:b/>
          <w:sz w:val="32"/>
          <w:szCs w:val="32"/>
        </w:rPr>
        <w:br w:type="textWrapping"/>
      </w:r>
      <w:r>
        <w:rPr>
          <w:rFonts w:hint="eastAsia" w:ascii="仿宋_GB2312" w:hAnsi="宋体" w:eastAsia="仿宋_GB2312"/>
          <w:b/>
          <w:sz w:val="32"/>
          <w:szCs w:val="32"/>
        </w:rPr>
        <w:t>裕民县财政批复预算后，我单位按要求及时制定并报批部门预算支出计划，严格落实预算执行定期分析机制，靠前抓好支出执行，坚持严肃财经纪律，硬化预算约束，持续树牢厉行节约理念，严控一般性支出，努力降低行政运行成本。</w:t>
      </w:r>
      <w:r>
        <w:cr/>
      </w:r>
      <w:r>
        <w:rPr>
          <w:rFonts w:hint="eastAsia" w:ascii="仿宋_GB2312" w:hAnsi="宋体" w:eastAsia="仿宋_GB2312"/>
          <w:b/>
          <w:sz w:val="32"/>
          <w:szCs w:val="32"/>
        </w:rPr>
        <w:br w:type="textWrapping"/>
      </w:r>
      <w:r>
        <w:rPr>
          <w:rFonts w:hint="eastAsia" w:ascii="仿宋_GB2312" w:hAnsi="宋体" w:eastAsia="仿宋_GB2312"/>
          <w:b/>
          <w:sz w:val="32"/>
          <w:szCs w:val="32"/>
        </w:rPr>
        <w:t>3.绩效管理</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cr/>
      </w:r>
      <w:r>
        <w:rPr>
          <w:rFonts w:hint="eastAsia" w:ascii="仿宋_GB2312" w:hAnsi="宋体" w:eastAsia="仿宋_GB2312"/>
          <w:b/>
          <w:sz w:val="32"/>
          <w:szCs w:val="32"/>
        </w:rPr>
        <w:br w:type="textWrapping"/>
      </w:r>
      <w:r>
        <w:rPr>
          <w:rFonts w:hint="eastAsia" w:ascii="仿宋_GB2312" w:hAnsi="宋体" w:eastAsia="仿宋_GB2312"/>
          <w:b/>
          <w:sz w:val="32"/>
          <w:szCs w:val="32"/>
        </w:rPr>
        <w:t>4.信息公开</w:t>
      </w:r>
      <w: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我单位已按要求在裕民县人民政府门户网站公开部门预算信息，同步公开绩效目标表；在裕民县人民政府门户网站公开部门决算信息，同步公开自评表及自评报告。</w:t>
      </w:r>
      <w: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（二）部门单位整体支出使用情况</w:t>
      </w:r>
      <w: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1.基本支出情况</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2024年基本支出1502.97元，包括工资福利支出1114.99万元，商品和服务支出84.14万元，对个人和家庭的补助303.84万元，资本性支出0万元。其中：“三公”经费支出5.99万元，比上年增加0.92万元，主要原因是公车维修费用增加；会议费支出0万元，比上年增加（减少）0万元，主要原因是我单位无会议费支出；培训费支出0万元，比上年增加（减少）0万元，主要原因是我单位无培训费支出。</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2.专项资金支出情况</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2024年专项项目支出2332.65万元，占总支出的60.85％，主要用于1.2024年中央转移支付（经费）资金支出，美术馆、公共图书馆、文化馆[站]免费开放补助资金支出，2024年中央补助地方公共文化服务体系建设补助资金（新时代文明实践中心建设）支出，农村劳动力以奖代补资金支出，2024年自治区</w:t>
      </w:r>
      <w:r>
        <w:rPr>
          <w:rFonts w:hint="eastAsia" w:ascii="仿宋_GB2312" w:hAnsi="宋体" w:eastAsia="仿宋_GB2312"/>
          <w:b/>
          <w:sz w:val="32"/>
          <w:szCs w:val="32"/>
          <w:lang w:eastAsia="zh-CN"/>
        </w:rPr>
        <w:t>JHSY</w:t>
      </w:r>
      <w:r>
        <w:rPr>
          <w:rFonts w:hint="eastAsia" w:ascii="仿宋_GB2312" w:hAnsi="宋体" w:eastAsia="仿宋_GB2312"/>
          <w:b/>
          <w:sz w:val="32"/>
          <w:szCs w:val="32"/>
        </w:rPr>
        <w:t>补助资金支出，村级组织活动场所建设项目支出，中央农业防灾救灾和水利救灾资金预算支出，2024年1至12月，</w:t>
      </w:r>
      <w:r>
        <w:rPr>
          <w:rFonts w:hint="eastAsia" w:ascii="仿宋_GB2312" w:hAnsi="宋体" w:eastAsia="仿宋_GB2312"/>
          <w:b/>
          <w:sz w:val="32"/>
          <w:szCs w:val="32"/>
          <w:lang w:eastAsia="zh-CN"/>
        </w:rPr>
        <w:t>驻村工作队</w:t>
      </w:r>
      <w:r>
        <w:rPr>
          <w:rFonts w:hint="eastAsia" w:ascii="仿宋_GB2312" w:hAnsi="宋体" w:eastAsia="仿宋_GB2312"/>
          <w:b/>
          <w:sz w:val="32"/>
          <w:szCs w:val="32"/>
        </w:rPr>
        <w:t>人员补助（县级配套）支出，抗灾保畜项目资金支出，2024年驻村工作为民办实事经费支出，驻村干部补助经费支出，中央财政衔接推进乡村振兴补助资金支出，吉也克镇萨热布拉克村异地搬迁安置点环境卫生整治项目，吉也克镇库萨克南村防洪渠建设项目支出，吉也克镇库木托别村农村道路建设项目支出，吉也克镇萨热布拉克村、加依勒玛村青储池建设项目支出，吉也克镇吉也克村泄洪渠财政以工代赈项目支出，吉也克镇吉也克村电力设施维修提升项目支出，吉也克镇加依勒玛村农村道路建设项目支出，吉也克镇哈拉赛村庭院整治及改厕项目支出，吉也克镇哈拉赛污水处理、道路建设、村草料棚、青储池建设及设备购置等上年结转项目支出，吉也克镇窝尔塔吉也克西村壮大村集体经济项目支出，农村综合改革转移支付资金支出，村干部报酬支出，村干部绩效考核奖励金支出，村级组织运转经费和服务群众经费支出，吉也克镇人民政府2024年库鲁斯台保护资金支出。</w:t>
      </w:r>
      <w:r>
        <w:cr/>
      </w:r>
      <w:r>
        <w:rPr>
          <w:rFonts w:hint="eastAsia" w:ascii="仿宋_GB2312" w:hAnsi="宋体" w:eastAsia="仿宋_GB2312"/>
          <w:b/>
          <w:sz w:val="32"/>
          <w:szCs w:val="32"/>
        </w:rPr>
        <w:br w:type="textWrapping"/>
      </w:r>
      <w:r>
        <w:rPr>
          <w:rFonts w:hint="eastAsia" w:ascii="仿宋_GB2312" w:hAnsi="宋体" w:eastAsia="仿宋_GB2312"/>
          <w:b/>
          <w:sz w:val="32"/>
          <w:szCs w:val="32"/>
        </w:rPr>
        <w:t>3.部门单位专项组织实施情况</w:t>
      </w:r>
      <w: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塔地财乡财[2023]6号2024年自治区农村综合改革转移支付资金（吉也克镇萨热布拉克村）专项、塔地财乡财[2023]5号2024年中央农村综合改革转移支付资金（吉也克镇库萨克南村）专项、塔地财乡财[2023]5号2024年中央农村综合改革转移支付资金（吉也克镇库木托别村）专项、裕民县吉也克镇幸福大院及附属设施建设项目塔地财综[2023]4号专项、裕民县吉也克镇敬老院（幸福大院）建设项目150塔地财综【2022】17号专项、塔地财综[2023]21号拨付2022年上半年地区本级福利彩票公益金专项、裕民县吉也克镇窝尔塔吉也克北村惠民资金10塔地财综【2022】17号专项、塔地财振[2021]14号[2021]19号裕民县吉也克镇加依勒玛村农村道路建设项目专项、塔地财振[2021]14号[2021]19号裕民县吉也克镇加依勒玛村农村道路建设项目专项、塔地财乡财[2022]6号2023年自治区农村综合改革转移支付资金吉也克镇库萨克北村（农村公益建设）专项、塔地财乡财[2022]6号 2023年自治区农村综合改革转移支付资金吉也克窝尔塔吉也克西村（农村公益建设）专项、2022年中央财政衔接推进乡村振兴补助资金哈拉赛村村容村貌提升改造工程塔地财扶【2021】14号380万专项、塔地财乡财[2023]2号2023年中央农村综合改革转移支付资金哈拉塞美丽乡村150万专项、2023年央农村综合改革转移支付资金吉也克镇哈拉赛村（农村公益建设）塔地财乡财[2022]5号专项、塔地财振[2021]14号[2021]19号裕民县吉也克镇加依勒玛村农村道路建设项目专项、塔地财振[2021]14号[2021]19号裕民县吉也克镇加依勒玛村农村道路建设项目专项、2022年中央财政衔接推进乡村振兴补助资金吉也克镇库木托别村加依勒玛供水工程建设项目塔地财扶【2021】14号专项、2022年中央财政衔接推进乡村振兴补助资金小麦原粮库建设220㎡左右塔地财扶【2021】14号470万专项、塔地财乡财[2024]2号2024年中央农村综合改革转移支付预算吉也克村专项工作计划，对项目的工作分工、任务分配、资金落实、完成时限等提出了明确、具体的要求，以确保项目保质、保量、按时完成。截</w:t>
      </w:r>
      <w:r>
        <w:rPr>
          <w:rFonts w:hint="eastAsia" w:ascii="仿宋_GB2312" w:hAnsi="宋体" w:eastAsia="仿宋_GB2312"/>
          <w:b/>
          <w:sz w:val="32"/>
          <w:szCs w:val="32"/>
          <w:lang w:eastAsia="zh-CN"/>
        </w:rPr>
        <w:t>止</w:t>
      </w:r>
      <w:r>
        <w:rPr>
          <w:rFonts w:hint="eastAsia" w:ascii="仿宋_GB2312" w:hAnsi="宋体" w:eastAsia="仿宋_GB2312"/>
          <w:b/>
          <w:sz w:val="32"/>
          <w:szCs w:val="32"/>
        </w:rPr>
        <w:t>2024年12月31日，完成专项19个，未完成专项0个。</w:t>
      </w:r>
      <w: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一是制定财务资金管理制度；二是各专项资金建立了专账；三是制定了项目实施方案；四是认真组织项目验收。切实保证专项资金都做到了专款专用。</w:t>
      </w:r>
      <w: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（1）制定了《财务管理制度》，各项资金使用审批流程均按规定办理。涉及“三重一大”内容，严格按照规定提请镇党组会审议决定，包括项目资金分配、重大项目确定、大额资金支付等。</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（2）建立专项资金台账账，做到有据可依，有据可查。</w:t>
      </w:r>
      <w:r>
        <w:cr/>
      </w:r>
      <w:r>
        <w:rPr>
          <w:rFonts w:hint="eastAsia" w:ascii="仿宋_GB2312" w:hAnsi="宋体" w:eastAsia="仿宋_GB2312"/>
          <w:b/>
          <w:sz w:val="32"/>
          <w:szCs w:val="32"/>
        </w:rPr>
        <w:br w:type="textWrapping"/>
      </w:r>
      <w:r>
        <w:rPr>
          <w:rFonts w:hint="eastAsia" w:ascii="仿宋_GB2312" w:hAnsi="宋体" w:eastAsia="仿宋_GB2312"/>
          <w:b/>
          <w:sz w:val="32"/>
          <w:szCs w:val="32"/>
        </w:rPr>
        <w:t>（3）制定了项目实施方案，确保项目顺利、高效实施，保证项目达到高质量标准，在实施过程中起到有效监督的作用。</w:t>
      </w:r>
      <w: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（4）认真组织项目验收，确保项目成果符合预定要求，保障工程质量与安全，提高工程质量意识和行业水平，确保工程符合法律法规和技术标准。</w:t>
      </w:r>
    </w:p>
    <w:p>
      <w:pPr>
        <w:numPr>
          <w:ilvl w:val="0"/>
          <w:numId w:val="1"/>
        </w:numPr>
        <w:snapToGrid w:val="0"/>
        <w:spacing w:line="540" w:lineRule="exact"/>
        <w:rPr>
          <w:rFonts w:hint="eastAsia" w:ascii="黑体" w:hAnsi="黑体" w:eastAsia="黑体" w:cs="宋体"/>
          <w:color w:val="333333"/>
          <w:sz w:val="32"/>
          <w:szCs w:val="32"/>
        </w:rPr>
      </w:pPr>
      <w:r>
        <w:rPr>
          <w:rFonts w:ascii="黑体" w:hAnsi="黑体" w:eastAsia="黑体" w:cs="宋体"/>
          <w:color w:val="333333"/>
          <w:sz w:val="32"/>
          <w:szCs w:val="32"/>
        </w:rPr>
        <w:t>部门单位整体支出绩效分析</w:t>
      </w:r>
    </w:p>
    <w:p>
      <w:pPr>
        <w:spacing w:line="600" w:lineRule="exact"/>
        <w:ind w:left="1273" w:leftChars="600" w:hanging="13" w:hangingChars="4"/>
        <w:jc w:val="left"/>
        <w:rPr>
          <w:rFonts w:hint="eastAsia" w:ascii="仿宋_GB2312" w:hAnsi="宋体" w:eastAsia="仿宋_GB2312"/>
          <w:b/>
          <w:sz w:val="32"/>
          <w:szCs w:val="32"/>
        </w:rPr>
      </w:pPr>
      <w:r>
        <w:rPr>
          <w:rFonts w:hint="eastAsia" w:ascii="仿宋_GB2312" w:hAnsi="宋体" w:eastAsia="仿宋_GB2312"/>
          <w:b/>
          <w:sz w:val="32"/>
          <w:szCs w:val="32"/>
        </w:rPr>
        <w:t>（一）预算执行情况分析</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吉也克镇人民政府总支出3835.62万元，预算执行率100%，其中一般公共服务支出438.76万元，文化旅游体育与传媒支出72.47万元，社会保障和就业支出244.81万元，卫生健康支出53.89万元，城乡社区支出70.2万元，农林水支出2848.55万元，住房保障支出89.23万元，其他支出17.71万元。</w:t>
      </w:r>
      <w: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1.基本支出使用情况</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吉也克镇人民政府基本支出1502.97元，占总支出的39.18％，其中：一般公共服务支出436.76万元，文化旅游体育与传媒支出62.17万元，社会保障和就业支出243.91万元，卫生健康支出51.16万元，城乡社区支出34.5万元，农林水支出585.25万元，住房保障支出89.22万元。</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2.项目支出使用情况</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2024年，裕民县吉也克镇人民政府项目支出2332.65元，占总支出的60.82％。其中：其他</w:t>
      </w:r>
      <w:r>
        <w:rPr>
          <w:rFonts w:hint="eastAsia" w:ascii="仿宋_GB2312" w:hAnsi="宋体" w:eastAsia="仿宋_GB2312"/>
          <w:b/>
          <w:sz w:val="32"/>
          <w:szCs w:val="32"/>
          <w:lang w:eastAsia="zh-CN"/>
        </w:rPr>
        <w:t>JJ</w:t>
      </w:r>
      <w:r>
        <w:rPr>
          <w:rFonts w:hint="eastAsia" w:ascii="仿宋_GB2312" w:hAnsi="宋体" w:eastAsia="仿宋_GB2312"/>
          <w:b/>
          <w:sz w:val="32"/>
          <w:szCs w:val="32"/>
        </w:rPr>
        <w:t>监察事务支出2万元，其他文化和旅游支出7.7万元，宣传文化发展专项支出2.3万元，其他文化旅游体育与传媒支出0.3万元，其他就业补助支出0.9万元，</w:t>
      </w:r>
      <w:r>
        <w:rPr>
          <w:rFonts w:hint="eastAsia" w:ascii="仿宋_GB2312" w:hAnsi="宋体" w:eastAsia="仿宋_GB2312"/>
          <w:b/>
          <w:sz w:val="32"/>
          <w:szCs w:val="32"/>
          <w:lang w:eastAsia="zh-CN"/>
        </w:rPr>
        <w:t>JHSY</w:t>
      </w:r>
      <w:r>
        <w:rPr>
          <w:rFonts w:hint="eastAsia" w:ascii="仿宋_GB2312" w:hAnsi="宋体" w:eastAsia="仿宋_GB2312"/>
          <w:b/>
          <w:sz w:val="32"/>
          <w:szCs w:val="32"/>
        </w:rPr>
        <w:t>服务支出2.73万元，其他城乡社区公共设施支出5.19万元，农村基础设施建设支出30.51万元，防灾救灾支出4万元，其他农业农村支出51.97万元，农村基础设施建设支出1039.15万元， 生产发展支出1039.97万元，对村级公益事业建设的补助104.43万元，对村集体经济组织的补助19.78万元，其他农林水支出4万元，用于社会福利的彩票公益金支出17.72万元。</w:t>
      </w:r>
      <w: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（二）部门单位整体支出绩效指标完成情况分析</w:t>
      </w:r>
      <w: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年初我单位设置部门整体绩效目标中包括一级指标1个二级指标2个，三级指标6个，指标完成情况分析如下：</w:t>
      </w:r>
      <w:r>
        <w:cr/>
      </w:r>
      <w:r>
        <w:rPr>
          <w:rFonts w:hint="eastAsia" w:ascii="仿宋_GB2312" w:hAnsi="宋体" w:eastAsia="仿宋_GB2312"/>
          <w:b/>
          <w:sz w:val="32"/>
          <w:szCs w:val="32"/>
        </w:rPr>
        <w:br w:type="textWrapping"/>
      </w:r>
      <w:r>
        <w:rPr>
          <w:rFonts w:hint="eastAsia" w:ascii="仿宋_GB2312" w:hAnsi="宋体" w:eastAsia="仿宋_GB2312"/>
          <w:b/>
          <w:sz w:val="32"/>
          <w:szCs w:val="32"/>
        </w:rPr>
        <w:t>1.履职效能</w:t>
      </w:r>
      <w: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指标1：“镇政府在职人数”指标，指标值：&gt;=77个 ，年中监控完成值：77个，自评完成值：66个 ，指标完成率85.71%，偏差14.29%，偏差原因及改进措施：2024年人员调动变动及退休人员增加。指标成效分析：全年本单位履职尽责，严格贯彻了各项工作要求，各项规章制度，落实了镇政府人员工资及时发放，日常办公活动正常开展任务。通过保障镇政府在职人工资及时发放，日常办公活动正常开展工作的有效完成，保证了政府正常行政运行能力。</w:t>
      </w:r>
      <w: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指标2：“提升村容村貌完成各类项目数量”指标 ，指标值： &gt;=10个 ，年中监控完成值：7个，自评完成值：10个，指标完成率100%，偏差0%，偏差原因及改进措施：指标值与全年指标完成值均不存在偏差，指标成效分析：全年本单位履职尽责，严格贯彻了各项工作要求，各项规章制度，落实了项目资金及时发放，日常项目正常开展任务。通过提升村容村貌完成各类项目数量，解决了吉镇村容村貌差的形象，提升了乡政府基层政权建设，改善了群众生活环境。</w:t>
      </w:r>
      <w: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指标3：“服务行政村对数量”指标，指标值：=12个 ，年中监控完成值：12个，自评完成值：12个，指标完成率100%，偏差0%，偏差原因及改进措施：指标值与全年指标完成值均不存在偏差，指标成效分析：全年本单位履职尽责，严格贯彻了各项工作要求，各项规章制度，落实了镇政府人员工资及时发放，日常办公活动正常开展任务。通过保障镇政府在职工资及时发放，日常办公活动正常开展工作的有效完成，有效帮助12个村队更好的服务群众。</w:t>
      </w:r>
      <w:r>
        <w:cr/>
      </w:r>
      <w:r>
        <w:rPr>
          <w:rFonts w:hint="eastAsia" w:ascii="仿宋_GB2312" w:hAnsi="宋体" w:eastAsia="仿宋_GB2312"/>
          <w:b/>
          <w:sz w:val="32"/>
          <w:szCs w:val="32"/>
        </w:rPr>
        <w:br w:type="textWrapping"/>
      </w:r>
      <w:r>
        <w:rPr>
          <w:rFonts w:hint="eastAsia" w:ascii="仿宋_GB2312" w:hAnsi="宋体" w:eastAsia="仿宋_GB2312"/>
          <w:b/>
          <w:sz w:val="32"/>
          <w:szCs w:val="32"/>
        </w:rPr>
        <w:t>指标4：“收集化解困难诉求数量”指标，指标值：&gt;=60个 ，年中监控完成值：35个，自评完成值：60个，指标完成率100%，偏差0%，偏差原因及改进措施：指标值与全年指标完成值均不存在偏差，指标成效分析：通过建立多元化解困难诉求机制的工作，有效提升矛盾纠纷的化解效率和质量。确保群众诉求得到及时响应与妥善处理，成功降低的矛盾升级风险，增强了社会和谐稳定，达到了群众满意度显著提升、社会治理效能明显增强的效果，为建设和谐社会环境奠定了坚实基础。</w:t>
      </w:r>
      <w: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指标1:“基层党组织建设工作完成率”，指标值： =100% ，年中监控完成值：100%，自评完成值：100% ，指标完成率100 %，偏差0%，偏差原因及改进措施：指标值与全年指标完成值均不存在偏差，指标成效分析：通过加强党建工作、提高组织力量和推进党员队伍建设等核心工作，有效提升党组织的组织力、凝聚力和战斗力，达到了基层党组织建设全面进步、全面过硬的效果，确保基层党组织的工作的坚强堡垒，更好地服务群众、推动发展、凝聚人心、促进和谐。</w:t>
      </w:r>
      <w: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指标2:“民族团结宣传教育工作完成率”，指标值： =100% ，年中监控完成值：100%，自评完成值：100%，指标完成率100%，偏差0%，偏差原因及改进措施：指标值与全年指标完成值均不存在偏差，指标成效分析：通过加强对民族团结重要性的多渠道宣传、开展丰富多样的民族团结教育活动一级促进不同民族间的深入交流等工作，有效提升全社会对民族团结的认识和重视程度，增强民族共同体意识，达到营造和谐民族关系，促进各民族和谐相处、和谐发展，共同维护社会稳定和国家统一的效果。</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评价结论</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2024年度部门整体支出绩效评价综合得分97.86分，评价结果为“优”。</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存在的主要问题及原因分析</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（一）绩效管理不到位</w:t>
      </w:r>
      <w:r>
        <w:cr/>
      </w:r>
      <w:r>
        <w:rPr>
          <w:rFonts w:hint="eastAsia" w:ascii="仿宋_GB2312" w:hAnsi="宋体" w:eastAsia="仿宋_GB2312"/>
          <w:b/>
          <w:sz w:val="32"/>
          <w:szCs w:val="32"/>
        </w:rPr>
        <w:br w:type="textWrapping"/>
      </w:r>
      <w:r>
        <w:rPr>
          <w:rFonts w:hint="eastAsia" w:ascii="仿宋_GB2312" w:hAnsi="宋体" w:eastAsia="仿宋_GB2312"/>
          <w:b/>
          <w:sz w:val="32"/>
          <w:szCs w:val="32"/>
        </w:rPr>
        <w:t>预算绩效管理工作时间紧、任务重、专业性强，我单位的预算绩效存在一些不足之处需要完善。预算绩效管理缺乏系统的培训，造成预算绩效管理指导不到位、认识不到位，理解不充分，对预算绩效管理工作重点把握不到位。</w:t>
      </w:r>
      <w:r>
        <w:cr/>
      </w:r>
      <w:r>
        <w:rPr>
          <w:rFonts w:hint="eastAsia" w:ascii="仿宋_GB2312" w:hAnsi="宋体" w:eastAsia="仿宋_GB2312"/>
          <w:b/>
          <w:sz w:val="32"/>
          <w:szCs w:val="32"/>
        </w:rPr>
        <w:br w:type="textWrapping"/>
      </w:r>
      <w:r>
        <w:rPr>
          <w:rFonts w:hint="eastAsia" w:ascii="仿宋_GB2312" w:hAnsi="宋体" w:eastAsia="仿宋_GB2312"/>
          <w:b/>
          <w:sz w:val="32"/>
          <w:szCs w:val="32"/>
        </w:rPr>
        <w:t>（二）财务人员配备不足</w:t>
      </w:r>
      <w:r>
        <w:cr/>
      </w:r>
      <w:r>
        <w:rPr>
          <w:rFonts w:hint="eastAsia" w:ascii="仿宋_GB2312" w:hAnsi="宋体" w:eastAsia="仿宋_GB2312"/>
          <w:b/>
          <w:sz w:val="32"/>
          <w:szCs w:val="32"/>
        </w:rPr>
        <w:br w:type="textWrapping"/>
      </w:r>
      <w:r>
        <w:rPr>
          <w:rFonts w:hint="eastAsia" w:ascii="仿宋_GB2312" w:hAnsi="宋体" w:eastAsia="仿宋_GB2312"/>
          <w:b/>
          <w:sz w:val="32"/>
          <w:szCs w:val="32"/>
        </w:rPr>
        <w:t>人员数量严重短缺，乡镇财政工作涵盖预算编制执行、收支管理、专项资金管理、村财乡管、惠农补贴发放、内部控制、绩效管理等多方面内容。然而，多数乡镇仅配备2-3名财务人员，却要承担乡镇数十个部门及行政村的财务核算、监督工作。在农业补贴发放、项目建设资金结算等高峰期，工作强度远超负荷，有限的财务人员需在短时间内完成海量数据的核对、发放与台账登记，工作强度极大，极易出现疏漏。</w:t>
      </w:r>
      <w:r>
        <w:cr/>
      </w:r>
      <w:r>
        <w:rPr>
          <w:rFonts w:hint="eastAsia" w:ascii="仿宋_GB2312" w:hAnsi="宋体" w:eastAsia="仿宋_GB2312"/>
          <w:b/>
          <w:sz w:val="32"/>
          <w:szCs w:val="32"/>
        </w:rPr>
        <w:br w:type="textWrapping"/>
      </w:r>
      <w:r>
        <w:rPr>
          <w:rFonts w:hint="eastAsia" w:ascii="仿宋_GB2312" w:hAnsi="宋体" w:eastAsia="仿宋_GB2312"/>
          <w:b/>
          <w:sz w:val="32"/>
          <w:szCs w:val="32"/>
        </w:rPr>
        <w:t>（三）预算编制精确度不高</w:t>
      </w:r>
      <w:r>
        <w:cr/>
      </w:r>
      <w:r>
        <w:rPr>
          <w:rFonts w:hint="eastAsia" w:ascii="仿宋_GB2312" w:hAnsi="宋体" w:eastAsia="仿宋_GB2312"/>
          <w:b/>
          <w:sz w:val="32"/>
          <w:szCs w:val="32"/>
        </w:rPr>
        <w:br w:type="textWrapping"/>
      </w:r>
      <w:r>
        <w:rPr>
          <w:rFonts w:hint="eastAsia" w:ascii="仿宋_GB2312" w:hAnsi="宋体" w:eastAsia="仿宋_GB2312"/>
          <w:b/>
          <w:sz w:val="32"/>
          <w:szCs w:val="32"/>
        </w:rPr>
        <w:t>经费预算编制精准度有待提高。由于预算执行中的不确定性，实际经费核算的科目、支出内容与预算会出现一定偏差。财务人员业务素质有待进一步提高。由于缺乏系统学习，财务人员对预算绩效管理认识不到位、理解不充分，对预算绩效管理业务不了解、不熟悉，对工作重点把握不到位，由此造成绩效评价工作还未摆脱财务考评或验收的影响。</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改进措施和建议</w:t>
      </w:r>
    </w:p>
    <w:p>
      <w:pPr>
        <w:pStyle w:val="11"/>
        <w:spacing w:line="600" w:lineRule="exact"/>
        <w:ind w:left="1368" w:firstLine="0" w:firstLineChars="0"/>
        <w:jc w:val="left"/>
        <w:rPr>
          <w:rFonts w:hint="eastAsia" w:ascii="仿宋_GB2312" w:hAnsi="宋体" w:eastAsia="仿宋_GB2312"/>
          <w:b/>
          <w:sz w:val="32"/>
          <w:szCs w:val="32"/>
        </w:rPr>
      </w:pPr>
      <w:r>
        <w:rPr>
          <w:rFonts w:hint="eastAsia" w:ascii="仿宋_GB2312" w:hAnsi="宋体" w:eastAsia="仿宋_GB2312"/>
          <w:b/>
          <w:sz w:val="32"/>
          <w:szCs w:val="32"/>
        </w:rPr>
        <w:t>（一）强化部门绩效管理体系建设</w:t>
      </w:r>
      <w:r>
        <w:rPr>
          <w:rFonts w:hint="eastAsia" w:ascii="仿宋_GB2312" w:hAnsi="宋体" w:eastAsia="仿宋_GB2312"/>
          <w:b/>
          <w:sz w:val="32"/>
          <w:szCs w:val="32"/>
        </w:rPr>
        <w:br w:type="textWrapping"/>
      </w:r>
      <w:r>
        <w:rPr>
          <w:rFonts w:hint="eastAsia" w:ascii="仿宋_GB2312" w:hAnsi="宋体" w:eastAsia="仿宋_GB2312"/>
          <w:b/>
          <w:sz w:val="32"/>
          <w:szCs w:val="32"/>
        </w:rPr>
        <w:t>构建分层分类培训体系，提升专业能力，定制化培训内容，组织全员预算绩效管理政策法规、操作流程专题培训，明确绩效管理目标、指标设定、绩效评价方法等基础内容。</w:t>
      </w:r>
      <w:r>
        <w:rPr>
          <w:rFonts w:hint="eastAsia" w:ascii="仿宋_GB2312" w:hAnsi="宋体" w:eastAsia="仿宋_GB2312"/>
          <w:b/>
          <w:sz w:val="32"/>
          <w:szCs w:val="32"/>
        </w:rPr>
        <w:br w:type="textWrapping"/>
      </w:r>
      <w:r>
        <w:rPr>
          <w:rFonts w:hint="eastAsia" w:ascii="仿宋_GB2312" w:hAnsi="宋体" w:eastAsia="仿宋_GB2312"/>
          <w:b/>
          <w:sz w:val="32"/>
          <w:szCs w:val="32"/>
        </w:rPr>
        <w:t>进阶提升，针对预算编制、绩效评价等关键岗位人员，开展绩效指标库建设、绩效运行监控工具（如成本效益分析）等实操培训。优化工作机制，强化全过程管理，？细化职责分工。</w:t>
      </w:r>
      <w:r>
        <w:rPr>
          <w:rFonts w:hint="eastAsia" w:ascii="仿宋_GB2312" w:hAnsi="宋体" w:eastAsia="仿宋_GB2312"/>
          <w:b/>
          <w:sz w:val="32"/>
          <w:szCs w:val="32"/>
        </w:rPr>
        <w:br w:type="textWrapping"/>
      </w:r>
      <w:r>
        <w:rPr>
          <w:rFonts w:hint="eastAsia" w:ascii="仿宋_GB2312" w:hAnsi="宋体" w:eastAsia="仿宋_GB2312"/>
          <w:b/>
          <w:sz w:val="32"/>
          <w:szCs w:val="32"/>
        </w:rPr>
        <w:t>（二）科学核定人员编制，加强队伍建设</w:t>
      </w:r>
      <w:r>
        <w:rPr>
          <w:rFonts w:hint="eastAsia" w:ascii="仿宋_GB2312" w:hAnsi="宋体" w:eastAsia="仿宋_GB2312"/>
          <w:b/>
          <w:sz w:val="32"/>
          <w:szCs w:val="32"/>
        </w:rPr>
        <w:br w:type="textWrapping"/>
      </w:r>
      <w:r>
        <w:rPr>
          <w:rFonts w:hint="eastAsia" w:ascii="仿宋_GB2312" w:hAnsi="宋体" w:eastAsia="仿宋_GB2312"/>
          <w:b/>
          <w:sz w:val="32"/>
          <w:szCs w:val="32"/>
        </w:rPr>
        <w:t>科学核定人员编制，上级编制部门应根据乡镇规模、财政业务量等因素，重新核定财务人员编制，确保每个乡镇至少配备4-5名专职财务人员，明确会计、出纳、审核等岗位设置，杜绝兼任现象。同时，建立动态调整机制，根据乡镇发展情况及时优化人员配置。定向招聘与培养，通过公务员、事业单位招考等渠道，定向招录财务专业人才，充实基层财务力量。强化培训机制，定期组织乡镇财务人员参加财税政策、会计实务、信息化技能等专题培训，邀请专家授课或开展线上学习；建立“以老带新”帮扶机制，促进经验传承。</w:t>
      </w:r>
      <w:r>
        <w:rPr>
          <w:rFonts w:hint="eastAsia" w:ascii="仿宋_GB2312" w:hAnsi="宋体" w:eastAsia="仿宋_GB2312"/>
          <w:b/>
          <w:sz w:val="32"/>
          <w:szCs w:val="32"/>
        </w:rPr>
        <w:br w:type="textWrapping"/>
      </w:r>
      <w:r>
        <w:rPr>
          <w:rFonts w:hint="eastAsia" w:ascii="仿宋_GB2312" w:hAnsi="宋体" w:eastAsia="仿宋_GB2312"/>
          <w:b/>
          <w:sz w:val="32"/>
          <w:szCs w:val="32"/>
        </w:rPr>
        <w:t>完善激励政策：对长期扎根乡镇、表现优秀的财务人员，在职称评定、评优评先、岗位晋升等方面给予倾斜，提高职业归属感与稳定性。</w:t>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（三）优化预算编制方法流程，深化财务人员能力建设 </w:t>
      </w:r>
      <w:r>
        <w:rPr>
          <w:rFonts w:hint="eastAsia" w:ascii="仿宋_GB2312" w:hAnsi="宋体" w:eastAsia="仿宋_GB2312"/>
          <w:b/>
          <w:sz w:val="32"/>
          <w:szCs w:val="32"/>
        </w:rPr>
        <w:br w:type="textWrapping"/>
      </w:r>
      <w:r>
        <w:rPr>
          <w:rFonts w:hint="eastAsia" w:ascii="仿宋_GB2312" w:hAnsi="宋体" w:eastAsia="仿宋_GB2312"/>
          <w:b/>
          <w:sz w:val="32"/>
          <w:szCs w:val="32"/>
        </w:rPr>
        <w:t>基础能力提升，组织财务人员参加预算编制法规、会计核算准则等基础课程，重点学习预算科目分类、支出标准规范，减少科目填报偏差。实操技能强化：开展预算绩效管理专题培训，通过模拟编制、案例研讨等方式，掌握绩效指标设定、成本测算等核心技能，摆脱“重财务数据、轻绩效目标”的传统模式。？优化预算编制方法与流程，细化支出标准：结合乡镇实际，制定办公用品、差旅费、项目建设等分类支出标准，严格按标准测算预算金额，减少人为估算误差。强化部门协同与动态调整，要求业务部门深度参与预算编制，提供详实的项目计划和资金需求，避免“财务部门单打独斗”；建立预算调整预警机制，当实际执行与预算偏差超10%时，需提交书面说明并启动调整程序。建立多级审核机制，实行“业务部门初审+财务部门复审+领导班子终审”三级审核，重点核查科目匹配度、绩效目标合理性；对大额项目支出，邀请第三方机构进行独立评审。</w:t>
      </w:r>
    </w:p>
    <w:p>
      <w:pPr>
        <w:spacing w:line="600" w:lineRule="exact"/>
        <w:ind w:firstLine="624" w:firstLineChars="200"/>
        <w:jc w:val="left"/>
        <w:rPr>
          <w:rFonts w:hint="eastAsia" w:ascii="黑体" w:hAnsi="黑体" w:eastAsia="黑体" w:cs="宋体"/>
          <w:b/>
          <w:color w:val="333333"/>
        </w:rPr>
      </w:pPr>
      <w:r>
        <w:rPr>
          <w:rStyle w:val="8"/>
          <w:rFonts w:hint="eastAsia" w:ascii="黑体" w:hAnsi="黑体" w:eastAsia="黑体"/>
          <w:b w:val="0"/>
          <w:bCs w:val="0"/>
          <w:spacing w:val="-4"/>
          <w:sz w:val="32"/>
          <w:szCs w:val="32"/>
        </w:rPr>
        <w:t>七、</w:t>
      </w:r>
      <w:r>
        <w:rPr>
          <w:rFonts w:hint="eastAsia" w:ascii="黑体" w:hAnsi="黑体" w:eastAsia="黑体" w:cs="宋体"/>
          <w:bCs/>
          <w:color w:val="333333"/>
          <w:sz w:val="32"/>
          <w:szCs w:val="32"/>
        </w:rPr>
        <w:t>附表：《部门整体支出绩效自评表》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NmMzYjcyNzE0YmMzYmU5ODAyNzQxNmMzMTVkNzQifQ=="/>
  </w:docVars>
  <w:rsids>
    <w:rsidRoot w:val="00000000"/>
    <w:rsid w:val="245C6FD2"/>
    <w:rsid w:val="6CE52FC1"/>
    <w:rsid w:val="78997AD6"/>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1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8">
    <w:name w:val="Strong"/>
    <w:basedOn w:val="7"/>
    <w:qFormat/>
    <w:uiPriority w:val="0"/>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99"/>
    <w:pPr>
      <w:ind w:firstLine="420" w:firstLineChars="200"/>
    </w:pPr>
  </w:style>
  <w:style w:type="character" w:customStyle="1" w:styleId="12">
    <w:name w:val="标题 4 字符"/>
    <w:basedOn w:val="7"/>
    <w:link w:val="2"/>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92377EF299964B09A4668C277AA64C46_13</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6cd575-e33c-4b4b-a5d5-c23b415069f1}">
  <ds:schemaRefs/>
</ds:datastoreItem>
</file>

<file path=docProps/app.xml><?xml version="1.0" encoding="utf-8"?>
<Properties xmlns="http://schemas.openxmlformats.org/officeDocument/2006/extended-properties" xmlns:vt="http://schemas.openxmlformats.org/officeDocument/2006/docPropsVTypes">
  <Template>Normal.dotm</Template>
  <Pages>2</Pages>
  <Words>58</Words>
  <Characters>336</Characters>
  <Lines>2</Lines>
  <Paragraphs>1</Paragraphs>
  <TotalTime>28</TotalTime>
  <ScaleCrop>false</ScaleCrop>
  <LinksUpToDate>false</LinksUpToDate>
  <CharactersWithSpaces>393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2025-10-13T04:34:39Z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92377EF299964B09A4668C277AA64C46_13</vt:lpwstr>
  </property>
</Properties>
</file>