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仿宋" w:eastAsia="仿宋" w:hAnsi="仿宋" w:cs="宋体"/>
          <w:kern w:val="0"/>
          <w:sz w:val="32"/>
          <w:szCs w:val="32"/>
        </w:rPr>
      </w:pPr>
      <w:bookmarkStart w:id="0" w:name="_GoBack"/>
      <w:bookmarkEnd w:id="0"/>
      <w:r>
        <w:rPr>
          <w:rFonts w:ascii="仿宋" w:eastAsia="仿宋" w:hAnsi="仿宋" w:cs="宋体" w:hint="eastAsia"/>
          <w:kern w:val="0"/>
          <w:sz w:val="32"/>
          <w:szCs w:val="32"/>
        </w:rPr>
        <w:t xml:space="preserve">附件2：</w:t>
      </w:r>
    </w:p>
    <w:p>
      <w:pPr>
        <w:keepNext w:val="0"/>
        <w:keepLines w:val="0"/>
        <w:pageBreakBefore w:val="0"/>
        <w:widowControl w:val="0"/>
        <w:kinsoku/>
        <w:wordWrap/>
        <w:overflowPunct/>
        <w:topLinePunct w:val="0"/>
        <w:autoSpaceDE/>
        <w:autoSpaceDN/>
        <w:bidi w:val="0"/>
        <w:adjustRightInd w:val="0"/>
        <w:snapToGrid w:val="0"/>
        <w:spacing w:line="560" w:lineRule="exact"/>
        <w:ind w:firstLine="1040" w:firstLineChars="200"/>
        <w:jc w:val="left"/>
        <w:textAlignment w:val="auto"/>
        <w:rPr>
          <w:rFonts w:ascii="华文中宋" w:eastAsia="华文中宋" w:hAnsi="华文中宋" w:cs="宋体"/>
          <w:b/>
          <w:kern w:val="0"/>
          <w:sz w:val="52"/>
          <w:szCs w:val="52"/>
        </w:rPr>
      </w:pPr>
    </w:p>
    <w:p>
      <w:pPr>
        <w:keepNext w:val="0"/>
        <w:keepLines w:val="0"/>
        <w:pageBreakBefore w:val="0"/>
        <w:widowControl w:val="0"/>
        <w:kinsoku/>
        <w:wordWrap/>
        <w:overflowPunct/>
        <w:topLinePunct w:val="0"/>
        <w:autoSpaceDE/>
        <w:autoSpaceDN/>
        <w:bidi w:val="0"/>
        <w:adjustRightInd w:val="0"/>
        <w:snapToGrid w:val="0"/>
        <w:spacing w:line="560" w:lineRule="exact"/>
        <w:ind w:firstLine="1040" w:firstLineChars="200"/>
        <w:jc w:val="left"/>
        <w:textAlignment w:val="auto"/>
        <w:rPr>
          <w:rFonts w:ascii="华文中宋" w:eastAsia="华文中宋" w:hAnsi="华文中宋" w:cs="宋体"/>
          <w:b/>
          <w:kern w:val="0"/>
          <w:sz w:val="52"/>
          <w:szCs w:val="52"/>
        </w:rPr>
      </w:pPr>
    </w:p>
    <w:p>
      <w:pPr>
        <w:keepNext w:val="0"/>
        <w:keepLines w:val="0"/>
        <w:pageBreakBefore w:val="0"/>
        <w:widowControl w:val="0"/>
        <w:kinsoku/>
        <w:wordWrap/>
        <w:overflowPunct/>
        <w:topLinePunct w:val="0"/>
        <w:autoSpaceDE/>
        <w:autoSpaceDN/>
        <w:bidi w:val="0"/>
        <w:adjustRightInd w:val="0"/>
        <w:snapToGrid w:val="0"/>
        <w:spacing w:line="560" w:lineRule="exact"/>
        <w:ind w:firstLine="1040" w:firstLineChars="200"/>
        <w:jc w:val="left"/>
        <w:textAlignment w:val="auto"/>
        <w:rPr>
          <w:rFonts w:ascii="华文中宋" w:eastAsia="华文中宋" w:hAnsi="华文中宋" w:cs="宋体"/>
          <w:b/>
          <w:kern w:val="0"/>
          <w:sz w:val="52"/>
          <w:szCs w:val="52"/>
        </w:rPr>
      </w:pPr>
    </w:p>
    <w:p>
      <w:pPr>
        <w:keepNext w:val="0"/>
        <w:keepLines w:val="0"/>
        <w:pageBreakBefore w:val="0"/>
        <w:widowControl w:val="0"/>
        <w:kinsoku/>
        <w:wordWrap/>
        <w:overflowPunct/>
        <w:topLinePunct w:val="0"/>
        <w:autoSpaceDE/>
        <w:autoSpaceDN/>
        <w:bidi w:val="0"/>
        <w:adjustRightInd w:val="0"/>
        <w:snapToGrid w:val="0"/>
        <w:spacing w:line="560" w:lineRule="exact"/>
        <w:ind w:firstLine="1040" w:firstLineChars="200"/>
        <w:jc w:val="left"/>
        <w:textAlignment w:val="auto"/>
        <w:rPr>
          <w:rFonts w:ascii="华文中宋" w:eastAsia="华文中宋" w:hAnsi="华文中宋" w:cs="宋体"/>
          <w:b/>
          <w:kern w:val="0"/>
          <w:sz w:val="52"/>
          <w:szCs w:val="52"/>
        </w:rPr>
      </w:pPr>
    </w:p>
    <w:p>
      <w:pPr>
        <w:keepNext w:val="0"/>
        <w:keepLines w:val="0"/>
        <w:pageBreakBefore w:val="0"/>
        <w:widowControl w:val="0"/>
        <w:kinsoku/>
        <w:wordWrap/>
        <w:overflowPunct/>
        <w:topLinePunct w:val="0"/>
        <w:autoSpaceDE/>
        <w:autoSpaceDN/>
        <w:bidi w:val="0"/>
        <w:adjustRightInd w:val="0"/>
        <w:snapToGrid w:val="0"/>
        <w:spacing w:line="560" w:lineRule="exact"/>
        <w:ind w:firstLine="1040" w:firstLineChars="200"/>
        <w:jc w:val="left"/>
        <w:textAlignment w:val="auto"/>
        <w:rPr>
          <w:rFonts w:ascii="华文中宋" w:eastAsia="华文中宋" w:hAnsi="华文中宋" w:cs="宋体"/>
          <w:b/>
          <w:kern w:val="0"/>
          <w:sz w:val="52"/>
          <w:szCs w:val="52"/>
        </w:rPr>
      </w:pPr>
    </w:p>
    <w:p>
      <w:pPr>
        <w:keepNext w:val="0"/>
        <w:keepLines w:val="0"/>
        <w:pageBreakBefore w:val="0"/>
        <w:widowControl w:val="0"/>
        <w:kinsoku/>
        <w:wordWrap/>
        <w:overflowPunct/>
        <w:topLinePunct w:val="0"/>
        <w:autoSpaceDE/>
        <w:autoSpaceDN/>
        <w:bidi w:val="0"/>
        <w:adjustRightInd w:val="0"/>
        <w:snapToGrid w:val="0"/>
        <w:spacing w:line="560" w:lineRule="exact"/>
        <w:ind w:firstLine="1040" w:firstLineChars="200"/>
        <w:jc w:val="left"/>
        <w:textAlignment w:val="auto"/>
        <w:rPr>
          <w:rFonts w:ascii="华文中宋" w:eastAsia="华文中宋" w:hAnsi="华文中宋" w:cs="宋体"/>
          <w:b/>
          <w:kern w:val="0"/>
          <w:sz w:val="52"/>
          <w:szCs w:val="52"/>
        </w:rPr>
      </w:pPr>
    </w:p>
    <w:p>
      <w:pPr>
        <w:keepNext w:val="0"/>
        <w:keepLines w:val="0"/>
        <w:pageBreakBefore w:val="0"/>
        <w:widowControl w:val="0"/>
        <w:kinsoku/>
        <w:wordWrap/>
        <w:overflowPunct/>
        <w:topLinePunct w:val="0"/>
        <w:autoSpaceDE/>
        <w:autoSpaceDN/>
        <w:bidi w:val="0"/>
        <w:adjustRightInd w:val="0"/>
        <w:snapToGrid w:val="0"/>
        <w:spacing w:line="560" w:lineRule="exact"/>
        <w:ind w:firstLine="960" w:firstLineChars="200"/>
        <w:jc w:val="center"/>
        <w:textAlignment w:val="auto"/>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keepNext w:val="0"/>
        <w:keepLines w:val="0"/>
        <w:pageBreakBefore w:val="0"/>
        <w:widowControl w:val="0"/>
        <w:kinsoku/>
        <w:wordWrap/>
        <w:overflowPunct/>
        <w:topLinePunct w:val="0"/>
        <w:autoSpaceDE/>
        <w:autoSpaceDN/>
        <w:bidi w:val="0"/>
        <w:adjustRightInd w:val="0"/>
        <w:snapToGrid w:val="0"/>
        <w:spacing w:line="560" w:lineRule="exact"/>
        <w:ind w:firstLine="1040" w:firstLineChars="200"/>
        <w:jc w:val="left"/>
        <w:textAlignment w:val="auto"/>
        <w:rPr>
          <w:rFonts w:ascii="华文中宋" w:eastAsia="华文中宋" w:hAnsi="华文中宋" w:cs="宋体"/>
          <w:b/>
          <w:kern w:val="0"/>
          <w:sz w:val="52"/>
          <w:szCs w:val="52"/>
        </w:rPr>
      </w:pPr>
    </w:p>
    <w:p>
      <w:pPr>
        <w:keepNext w:val="0"/>
        <w:keepLines w:val="0"/>
        <w:pageBreakBefore w:val="0"/>
        <w:widowControl w:val="0"/>
        <w:kinsoku/>
        <w:wordWrap/>
        <w:overflowPunct/>
        <w:topLinePunct w:val="0"/>
        <w:autoSpaceDE/>
        <w:autoSpaceDN/>
        <w:bidi w:val="0"/>
        <w:adjustRightInd w:val="0"/>
        <w:snapToGrid w:val="0"/>
        <w:spacing w:line="560" w:lineRule="exact"/>
        <w:ind w:firstLine="720" w:firstLineChars="200"/>
        <w:jc w:val="center"/>
        <w:textAlignment w:val="auto"/>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left"/>
        <w:textAlignment w:val="auto"/>
        <w:rPr>
          <w:rFonts w:eastAsia="仿宋_GB2312" w:hAnsi="宋体" w:cs="宋体"/>
          <w:kern w:val="0"/>
          <w:sz w:val="30"/>
          <w:szCs w:val="30"/>
        </w:rPr>
      </w:pP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left"/>
        <w:textAlignment w:val="auto"/>
        <w:rPr>
          <w:rFonts w:eastAsia="仿宋_GB2312" w:hAnsi="宋体" w:cs="宋体"/>
          <w:kern w:val="0"/>
          <w:sz w:val="30"/>
          <w:szCs w:val="30"/>
        </w:rPr>
      </w:pP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left"/>
        <w:textAlignment w:val="auto"/>
        <w:rPr>
          <w:rFonts w:eastAsia="仿宋_GB2312" w:hAnsi="宋体" w:cs="宋体"/>
          <w:kern w:val="0"/>
          <w:sz w:val="30"/>
          <w:szCs w:val="30"/>
        </w:rPr>
      </w:pP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left"/>
        <w:textAlignment w:val="auto"/>
        <w:rPr>
          <w:rFonts w:eastAsia="仿宋_GB2312" w:hAnsi="宋体" w:cs="宋体"/>
          <w:kern w:val="0"/>
          <w:sz w:val="30"/>
          <w:szCs w:val="30"/>
        </w:rPr>
      </w:pP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left"/>
        <w:textAlignment w:val="auto"/>
        <w:rPr>
          <w:rFonts w:eastAsia="仿宋_GB2312" w:hAnsi="宋体" w:cs="宋体"/>
          <w:kern w:val="0"/>
          <w:sz w:val="30"/>
          <w:szCs w:val="30"/>
        </w:rPr>
      </w:pP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left"/>
        <w:textAlignment w:val="auto"/>
        <w:rPr>
          <w:rFonts w:eastAsia="仿宋_GB2312" w:hAnsi="宋体" w:cs="宋体"/>
          <w:kern w:val="0"/>
          <w:sz w:val="30"/>
          <w:szCs w:val="30"/>
        </w:rPr>
      </w:pP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left"/>
        <w:textAlignment w:val="auto"/>
        <w:rPr>
          <w:rFonts w:eastAsia="仿宋_GB2312" w:hAnsi="宋体" w:cs="宋体"/>
          <w:kern w:val="0"/>
          <w:sz w:val="30"/>
          <w:szCs w:val="30"/>
        </w:rPr>
      </w:pPr>
    </w:p>
    <w:p>
      <w:pPr>
        <w:keepNext w:val="0"/>
        <w:keepLines w:val="0"/>
        <w:pageBreakBefore w:val="0"/>
        <w:widowControl w:val="0"/>
        <w:kinsoku/>
        <w:wordWrap/>
        <w:overflowPunct/>
        <w:topLinePunct w:val="0"/>
        <w:autoSpaceDE/>
        <w:autoSpaceDN/>
        <w:bidi w:val="0"/>
        <w:adjustRightInd w:val="0"/>
        <w:snapToGrid w:val="0"/>
        <w:spacing w:line="560" w:lineRule="exact"/>
        <w:ind w:firstLine="720" w:firstLineChars="200"/>
        <w:jc w:val="left"/>
        <w:textAlignment w:val="auto"/>
        <w:rPr>
          <w:rFonts w:eastAsia="仿宋_GB2312" w:hAnsi="宋体" w:cs="宋体"/>
          <w:kern w:val="0"/>
          <w:sz w:val="36"/>
          <w:szCs w:val="36"/>
        </w:rPr>
      </w:pPr>
      <w:r>
        <w:rPr>
          <w:rFonts w:eastAsia="仿宋_GB2312" w:hAnsi="宋体" w:cs="宋体" w:hint="eastAsia"/>
          <w:kern w:val="0"/>
          <w:sz w:val="36"/>
          <w:szCs w:val="36"/>
        </w:rPr>
        <w:t xml:space="preserve">     </w:t>
      </w:r>
    </w:p>
    <w:p>
      <w:pPr>
        <w:keepNext w:val="0"/>
        <w:keepLines w:val="0"/>
        <w:pageBreakBefore w:val="0"/>
        <w:widowControl w:val="0"/>
        <w:kinsoku/>
        <w:wordWrap/>
        <w:overflowPunct/>
        <w:topLinePunct w:val="0"/>
        <w:autoSpaceDE/>
        <w:autoSpaceDN/>
        <w:bidi w:val="0"/>
        <w:adjustRightInd w:val="0"/>
        <w:snapToGrid w:val="0"/>
        <w:spacing w:line="560" w:lineRule="exact"/>
        <w:ind w:firstLine="720" w:firstLineChars="200"/>
        <w:jc w:val="left"/>
        <w:textAlignment w:val="auto"/>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裕民县县级粮油储备及成品粮油储备</w:t>
      </w:r>
    </w:p>
    <w:p>
      <w:pPr>
        <w:keepNext w:val="0"/>
        <w:keepLines w:val="0"/>
        <w:pageBreakBefore w:val="0"/>
        <w:widowControl w:val="0"/>
        <w:kinsoku/>
        <w:wordWrap/>
        <w:overflowPunct/>
        <w:topLinePunct w:val="0"/>
        <w:autoSpaceDE/>
        <w:autoSpaceDN/>
        <w:bidi w:val="0"/>
        <w:adjustRightInd w:val="0"/>
        <w:snapToGrid w:val="0"/>
        <w:spacing w:line="560" w:lineRule="exact"/>
        <w:ind w:firstLine="720" w:firstLineChars="200"/>
        <w:jc w:val="left"/>
        <w:textAlignment w:val="auto"/>
        <w:rPr>
          <w:rFonts w:ascii="楷体" w:eastAsia="楷体" w:hAnsi="楷体"/>
          <w:b/>
          <w:bCs/>
          <w:spacing w:val="-4"/>
          <w:sz w:val="32"/>
          <w:szCs w:val="32"/>
        </w:rPr>
      </w:pP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裕民县发展和改革委员会</w:t>
      </w:r>
    </w:p>
    <w:p>
      <w:pPr>
        <w:keepNext w:val="0"/>
        <w:keepLines w:val="0"/>
        <w:pageBreakBefore w:val="0"/>
        <w:widowControl w:val="0"/>
        <w:kinsoku/>
        <w:wordWrap/>
        <w:overflowPunct/>
        <w:topLinePunct w:val="0"/>
        <w:autoSpaceDE/>
        <w:autoSpaceDN/>
        <w:bidi w:val="0"/>
        <w:adjustRightInd w:val="0"/>
        <w:snapToGrid w:val="0"/>
        <w:spacing w:line="560" w:lineRule="exact"/>
        <w:ind w:firstLine="720" w:firstLineChars="200"/>
        <w:jc w:val="left"/>
        <w:textAlignment w:val="auto"/>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裕民县发展和改革委员会</w:t>
      </w:r>
    </w:p>
    <w:p>
      <w:pPr>
        <w:keepNext w:val="0"/>
        <w:keepLines w:val="0"/>
        <w:pageBreakBefore w:val="0"/>
        <w:widowControl w:val="0"/>
        <w:kinsoku/>
        <w:wordWrap/>
        <w:overflowPunct/>
        <w:topLinePunct w:val="0"/>
        <w:autoSpaceDE/>
        <w:autoSpaceDN/>
        <w:bidi w:val="0"/>
        <w:adjustRightInd w:val="0"/>
        <w:snapToGrid w:val="0"/>
        <w:spacing w:line="560" w:lineRule="exact"/>
        <w:ind w:firstLine="720" w:firstLineChars="200"/>
        <w:jc w:val="left"/>
        <w:textAlignment w:val="auto"/>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薛建</w:t>
      </w:r>
    </w:p>
    <w:p>
      <w:pPr>
        <w:keepNext w:val="0"/>
        <w:keepLines w:val="0"/>
        <w:pageBreakBefore w:val="0"/>
        <w:widowControl w:val="0"/>
        <w:kinsoku/>
        <w:wordWrap/>
        <w:overflowPunct/>
        <w:topLinePunct w:val="0"/>
        <w:autoSpaceDE/>
        <w:autoSpaceDN/>
        <w:bidi w:val="0"/>
        <w:adjustRightInd w:val="0"/>
        <w:snapToGrid w:val="0"/>
        <w:spacing w:line="560" w:lineRule="exact"/>
        <w:ind w:firstLine="720" w:firstLineChars="200"/>
        <w:jc w:val="left"/>
        <w:textAlignment w:val="auto"/>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2025年04月16日</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left"/>
        <w:textAlignment w:val="auto"/>
        <w:rPr>
          <w:rFonts w:eastAsia="仿宋_GB2312" w:hAnsi="宋体" w:cs="宋体"/>
          <w:kern w:val="0"/>
          <w:sz w:val="30"/>
          <w:szCs w:val="30"/>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黑体" w:eastAsia="黑体" w:hAnsi="黑体"/>
          <w:b w:val="0"/>
          <w:spacing w:val="-4"/>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keepNext w:val="0"/>
        <w:keepLines w:val="0"/>
        <w:pageBreakBefore w:val="0"/>
        <w:widowControl w:val="0"/>
        <w:kinsoku/>
        <w:wordWrap/>
        <w:overflowPunct/>
        <w:topLinePunct w:val="0"/>
        <w:autoSpaceDE/>
        <w:autoSpaceDN/>
        <w:bidi w:val="0"/>
        <w:adjustRightInd w:val="0"/>
        <w:snapToGrid w:val="0"/>
        <w:spacing w:line="560" w:lineRule="exact"/>
        <w:ind w:left="638" w:firstLine="0" w:leftChars="304" w:firstLineChars="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（一）项目概况</w:t>
      </w:r>
    </w:p>
    <w:p>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为认真贯彻落实自治区党委办公厅、自治区人民政府办公厅印发的《关于改革完善体制机制加强粮食储备安全管理的若干意见》，根据关于建立县（市）级成品粮油储备、小麦原粮的通知（塔粮安协调办[2020]6号）文件、《关于改革完善体制机制加强粮食储备安全管理的实施意见》的通知（塔地党办【2020】23号）文件、《关于加强地方储备粮管理增强区域粮食安全保障能力的实施意见》（新粮粮[2020]104号）文件、塔城地区发改委转发《关于加强地方储备粮管理增强区域粮食安全保障能力的实施意见》（塔地发改粮食[2020]39号）文件要求，建立县级成品粮油储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进一步夯实粮食储备安全管理责任，更好服务宏观调控，建立县级成品粮油储备、小麦原粮储备能够有效提升应对自然灾害或突发事件能力，确保我县粮食安全。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按照关于建立县（市）级成品粮油储备的通知（塔粮安协调办[2020]6号）、《关于改革完善体制机制加强粮食储备安全管理的实施意见》的通知（塔地党办【2020】23号）文件要求，我县人口数51595人，人均每天面粉储备标准是350克，储备天数15天，储备总量为271吨；人均每天食用油储备标准46克，储备天数15天，储备总量为36吨。储备小麦原粮总量为3396吨；所需储备贷款由中国农业发展银行裕民县支行按有关文件规定和要求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主要内容：按照关于建立县（市）级成品粮油储备的通知（塔粮安协调办[2020]6号）、《关于改革完善体制机制加强粮食储备安全管理的实施意见》的通知（塔地党办【2020】23号）文件要求，我县人口数51595人，人均每天面粉储备标准是350克，储备天数15天，储备总量为271吨；人均每天食用油储备标准46克，储备天数15天，储备总量为36吨。储备小麦原粮总量为3396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实施情况：本项目于2024年1月开始实施，截至2024年12月，该项目已实施完成，各项任务指标全部完成。通过本项目的实施，有效解决了县级成品粮油、小麦原粮储备不足的问题，提升了应急保障能力，增强了应对自然灾害和突发事件的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（1）资金投入情况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该项目年初预算数109.43万元，全年预算数109.43万元，该项目资金已全部落实到位，资金来源为财政拨款。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该项目年初预算数109.43万元</w:t>
      </w:r>
      <w:r>
        <w:rPr>
          <w:rStyle w:val="Strong"/>
          <w:rFonts w:ascii="楷体" w:eastAsia="楷体" w:hAnsi="楷体" w:hint="eastAsia"/>
          <w:b w:val="0"/>
          <w:bCs w:val="0"/>
          <w:spacing w:val="-4"/>
          <w:sz w:val="32"/>
          <w:szCs w:val="32"/>
          <w:lang w:eastAsia="zh-CN"/>
        </w:rPr>
        <w:t xml:space="preserve">，</w:t>
      </w:r>
      <w:r>
        <w:rPr>
          <w:rStyle w:val="Strong"/>
          <w:rFonts w:ascii="楷体" w:eastAsia="楷体" w:hAnsi="楷体" w:hint="eastAsia"/>
          <w:b w:val="0"/>
          <w:bCs w:val="0"/>
          <w:spacing w:val="-4"/>
          <w:sz w:val="32"/>
          <w:szCs w:val="32"/>
        </w:rPr>
        <w:t xml:space="preserve">全年预算数109.43万元，全年执行数107.06万元，预算执行率为97.83%，主要用于：用于支付成品粮油保管费、轮换费、贷款贴息费用合计35.99万元；用于支付小麦原粮保管费、轮换费、贷款贴息费用合计71.07万元。</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keepNext w:val="0"/>
        <w:keepLines w:val="0"/>
        <w:pageBreakBefore w:val="0"/>
        <w:widowControl w:val="0"/>
        <w:kinsoku/>
        <w:wordWrap/>
        <w:overflowPunct/>
        <w:topLinePunct w:val="0"/>
        <w:autoSpaceDE/>
        <w:autoSpaceDN/>
        <w:bidi w:val="0"/>
        <w:adjustRightInd w:val="0"/>
        <w:snapToGrid w:val="0"/>
        <w:spacing w:line="560" w:lineRule="exact"/>
        <w:ind w:left="319" w:firstLine="640" w:leftChars="152"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1.总体目标（与目标表中年度预期总体目标一致）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2024年我单位计划支出109.43万元，用于县级原粮储备及成品粮油储备，小麦原粮储备3396吨、成品粮面粉储备271吨、食用油储备36吨。通过项目的全年实施，确保有效提升应对自然灾害或突发事件能力。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度，我单位按季度支付项目资金，完成了成品粮轮换4次（按季度轮换）；成品油轮换2次（半年轮换）；小麦原粮储备数量3396吨；成品粮面粉储备数量271吨，食用油储备数量36吨；共计支付107.06万元，有效提升应对自然灾害或突发事件能力。</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评价指标体系的构建上，充分考虑了项目的性质、目标以及预期成果，选取了具有代表性和可衡量性的关键指标，从社会效益这个方面反映项目的绩效状况。同时，对于每个指标的评价标准和数据来源均进行了明确说明，确保评价结果的客观性和可追溯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Style w:val="Strong"/>
          <w:rFonts w:ascii="楷体" w:eastAsia="楷体" w:hAnsi="楷体" w:hint="eastAsia"/>
          <w:b w:val="0"/>
          <w:bCs w:val="0"/>
          <w:spacing w:val="-4"/>
          <w:sz w:val="32"/>
          <w:szCs w:val="32"/>
          <w:lang w:eastAsia="zh-CN"/>
        </w:rPr>
        <w:t xml:space="preserve">。</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（1）评估项目实施效果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通过对项目预算执行情况及各项绩效目标达成程度的系统性分析，全面、客观地评估项目在预定周期内的实施效果，从社会效益指标，为项目后续的改进与优化提供科学依据。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（2）提升资源利用效率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（3）强化项目管理责任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（4）为决策提供支持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（5）促进项目持续改进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3.绩效评价的对象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的评价对象是裕民县县级粮油储备及成品粮油储备及其预算执行情况。该项目由裕民县发改委（裕民县粮食和物资储备局）负责实施，旨在通过储备小麦原粮3396吨、成品粮面粉271吨、食用油36吨，确保有效提升应对自然灾害或突发事件能力。项目预算涵盖从2024年1月1日至2024年12月25日的全部资金投入与支出，涉及资金总额为107.06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4.绩效评价的范围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（2）资金管理：深入分析项目资金的分配、使用和监管情况，确保资金使用的合规性、高效性和透明度。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（4）社会、生态等影响：考察项目对社会的综合影响。</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keepNext w:val="0"/>
        <w:keepLines w:val="0"/>
        <w:pageBreakBefore w:val="0"/>
        <w:widowControl w:val="0"/>
        <w:kinsoku/>
        <w:wordWrap/>
        <w:overflowPunct/>
        <w:topLinePunct w:val="0"/>
        <w:autoSpaceDE/>
        <w:autoSpaceDN/>
        <w:bidi w:val="0"/>
        <w:adjustRightInd w:val="0"/>
        <w:snapToGrid w:val="0"/>
        <w:spacing w:line="560" w:lineRule="exact"/>
        <w:ind w:left="638" w:firstLine="640" w:leftChars="304" w:firstLineChars="200"/>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本次项目绩效评价遵循以下基本原则：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（1）确定评价指标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（2）确定权重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（3）确定指标标准值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绩效评价总分值100分，根据综合评分结果，90（含）-100分为优、80（含）-90分为良、60（含）-80分为中、60分以下为差。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具体评价指标体系详情见附件1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绩效评价从项目决策、项目过程、项目产出、项目效益四个维度进行评价。评价对象为项目目标实施情况，评价核心为资金的支出完成情况和项目的产出效益。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本次评价指标中，既有定性指标又有定量指标，各类指标因考核内容不同和客观标准不同存在较大差异，因此核定具体指标时采用了不同方法，具体评价方法如下：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比较法：通过整理本项目相关资料和数据，评价数量指标的完成情况；通过分析项目的实施情况与绩效目标实现情况，评价项目实施的效果；通过分析项目资金使用情况及产生的效果，评价预算资金分配的合理性。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楷体" w:eastAsia="楷体" w:hAnsi="楷体" w:hint="eastAsia"/>
          <w:spacing w:val="-4"/>
          <w:sz w:val="32"/>
          <w:szCs w:val="32"/>
          <w:lang w:val="en-US" w:eastAsia="zh-CN"/>
        </w:rPr>
      </w:pPr>
      <w:r>
        <w:rPr>
          <w:rStyle w:val="Strong"/>
          <w:rFonts w:ascii="楷体" w:eastAsia="楷体" w:hAnsi="楷体" w:hint="eastAsia"/>
          <w:spacing w:val="-4"/>
          <w:sz w:val="32"/>
          <w:szCs w:val="32"/>
          <w:lang w:val="en-US" w:eastAsia="zh-CN"/>
        </w:rPr>
        <w:t xml:space="preserve">（三）绩效评价工作过程</w:t>
      </w:r>
    </w:p>
    <w:p>
      <w:pPr>
        <w:keepNext w:val="0"/>
        <w:keepLines w:val="0"/>
        <w:pageBreakBefore w:val="0"/>
        <w:widowControl w:val="0"/>
        <w:kinsoku/>
        <w:wordWrap/>
        <w:overflowPunct/>
        <w:topLinePunct w:val="0"/>
        <w:autoSpaceDE/>
        <w:autoSpaceDN/>
        <w:bidi w:val="0"/>
        <w:adjustRightInd w:val="0"/>
        <w:snapToGrid w:val="0"/>
        <w:spacing w:line="560" w:lineRule="exact"/>
        <w:ind w:left="1280" w:hanging="1280" w:hangingChars="400"/>
        <w:jc w:val="left"/>
        <w:textAlignment w:val="auto"/>
        <w:rPr>
          <w:rStyle w:val="Strong"/>
          <w:rFonts w:ascii="楷体" w:eastAsia="楷体" w:hAnsi="楷体" w:hint="eastAsia"/>
          <w:b w:val="0"/>
          <w:bCs w:val="0"/>
          <w:spacing w:val="-4"/>
          <w:sz w:val="32"/>
          <w:szCs w:val="32"/>
          <w:lang w:val="en-US" w:eastAsia="zh-CN"/>
        </w:rPr>
      </w:pPr>
      <w:r>
        <w:rPr>
          <w:rStyle w:val="Strong"/>
          <w:rFonts w:ascii="楷体" w:eastAsia="楷体" w:hAnsi="楷体" w:hint="eastAsia"/>
          <w:b w:val="0"/>
          <w:bCs w:val="0"/>
          <w:spacing w:val="-4"/>
          <w:sz w:val="32"/>
          <w:szCs w:val="32"/>
          <w:lang w:val="en-US" w:eastAsia="zh-CN"/>
        </w:rPr>
        <w:t xml:space="preserve">（1）前期准备与规划</w:t>
      </w:r>
    </w:p>
    <w:p>
      <w:pPr>
        <w:ind w:firstLine="640" w:firstLineChars="200"/>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lang w:val="en-US" w:eastAsia="zh-CN"/>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b w:val="0"/>
          <w:bCs w:val="0"/>
          <w:spacing w:val="-4"/>
          <w:sz w:val="32"/>
          <w:szCs w:val="32"/>
          <w:lang w:val="en-US" w:eastAsia="zh-CN"/>
        </w:rPr>
        <w:br/>
      </w:r>
      <w:r>
        <w:rPr>
          <w:rStyle w:val="Strong"/>
          <w:rFonts w:ascii="楷体" w:eastAsia="楷体" w:hAnsi="楷体" w:hint="eastAsia"/>
          <w:b w:val="0"/>
          <w:bCs w:val="0"/>
          <w:spacing w:val="-4"/>
          <w:sz w:val="32"/>
          <w:szCs w:val="32"/>
          <w:lang w:val="en-US" w:eastAsia="zh-CN"/>
        </w:rPr>
        <w:t xml:space="preserve">（2）指标体系构建</w:t>
      </w:r>
      <w:r>
        <w:rPr>
          <w:rFonts w:ascii="楷体" w:eastAsia="楷体" w:hAnsi="楷体" w:hint="eastAsia"/>
          <w:b w:val="0"/>
          <w:bCs w:val="0"/>
          <w:spacing w:val="-4"/>
          <w:sz w:val="32"/>
          <w:szCs w:val="32"/>
          <w:lang w:val="en-US" w:eastAsia="zh-CN"/>
        </w:rPr>
        <w:br/>
      </w:r>
      <w:r>
        <w:rPr>
          <w:rStyle w:val="Strong"/>
          <w:rFonts w:ascii="楷体" w:eastAsia="楷体" w:hAnsi="楷体" w:hint="eastAsia"/>
          <w:b w:val="0"/>
          <w:bCs w:val="0"/>
          <w:spacing w:val="-4"/>
          <w:sz w:val="32"/>
          <w:szCs w:val="32"/>
          <w:lang w:val="en-US" w:eastAsia="zh-CN"/>
        </w:rPr>
        <w:t xml:space="preserve">    依据项目的性质、目标以及预期成果，构建了科学合理的绩效评价指标体系。该指标体系涵盖了项目决策、项目过程、项目产出、项目效益四个维度，选取了具有代表性和可衡量性的关键指标，</w:t>
      </w:r>
      <w:r>
        <w:rPr>
          <w:rStyle w:val="Strong"/>
          <w:rFonts w:ascii="楷体" w:eastAsia="楷体" w:hAnsi="楷体" w:hint="eastAsia"/>
          <w:b w:val="0"/>
          <w:bCs w:val="0"/>
          <w:spacing w:val="-4"/>
          <w:sz w:val="32"/>
          <w:szCs w:val="32"/>
        </w:rPr>
        <w:t xml:space="preserve">并为每个指标设定了明确的评价标准与权重，确保评价结果能够全面、准确地反映项目的绩效状况。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（3）数据收集与整理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（4）数据分析与评估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（5）报告撰写与反馈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（6）后续跟踪与改进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keepNext w:val="0"/>
        <w:keepLines w:val="0"/>
        <w:pageBreakBefore w:val="0"/>
        <w:widowControl w:val="0"/>
        <w:kinsoku/>
        <w:wordWrap/>
        <w:overflowPunct/>
        <w:topLinePunct w:val="0"/>
        <w:autoSpaceDE/>
        <w:autoSpaceDN/>
        <w:bidi w:val="0"/>
        <w:adjustRightInd w:val="0"/>
        <w:snapToGrid w:val="0"/>
        <w:spacing w:line="560" w:lineRule="exact"/>
        <w:ind w:left="1278" w:hanging="640" w:leftChars="304" w:hanging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（一）评价情况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本项目的综合评价基于对项目各方面绩效的深入分析与评估。从项目目标的达成情况来看，裕民县县级粮油储备及成品粮油储备在数量指标完成方面表现出色，达到了预期的标准与要求。同时，项目也在经济成本指标完成方面取得了显著的成效，如按计划完成了项目资金支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在项目管理方面，裕民县发改委（裕民县粮食和物资储备局）通过有效的规划、组织与协调，项目得以顺利实施，并在预算与时间上保持了良好的控制。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从项目效益的角度来看，本项目不仅实现了预期的社会效益方面产生了积极的影响。具体而言，小麦原粮、面粉、成品油储备总量的完成，为项目的利益相关者带来了实实在在的利益。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综上所述，裕民县县级粮油储备及成品粮油储备在绩效评价中表现出色，达到了项目的预期目标，并在多个方面取得了显著的成效。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99.7分，属于“优”。其中，项目决策类指标权重为20分，得分为 20分，得分率为100%。项目过程类指标权重为20分，得分为19.90分，得分率为 99.50%。项目产出类指标权重为40分，得分为39.80分，得分率为 99.50%。项目效益类指标权重为20分，得分为20分，得分率为100%。</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keepNext w:val="0"/>
        <w:keepLines w:val="0"/>
        <w:pageBreakBefore w:val="0"/>
        <w:widowControl w:val="0"/>
        <w:tabs>
          <w:tab w:val="center" w:pos="4295"/>
        </w:tabs>
        <w:kinsoku/>
        <w:wordWrap/>
        <w:overflowPunct/>
        <w:topLinePunct w:val="0"/>
        <w:autoSpaceDE/>
        <w:autoSpaceDN/>
        <w:bidi w:val="0"/>
        <w:adjustRightInd w:val="0"/>
        <w:snapToGrid w:val="0"/>
        <w:spacing w:line="560" w:lineRule="exact"/>
        <w:ind w:firstLine="6720" w:firstLineChars="2100"/>
        <w:jc w:val="left"/>
        <w:textAlignment w:val="auto"/>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是由裕民县发改委（粮食和物资储备局）提出申报，于2022年4月批复设立，2022年我单位根据《关于加强地方储备粮管理增强区域粮食安全保障能力的实施意见》（新粮粮[2020]104号）文件、塔城地区发改委转发《关于加强地方储备粮管理增强区域粮食安全保障能力的实施意见》（塔地发改粮食[2020]39号）文件要求组织每年度实施该项目。项目立项符合国家法律法规、自治区和地区行业发展规划和政策要求，属于本部门履职所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根据决策依据编制工作计划和经费预算，经过与县政府分管领导进行沟通、筛选确定经费预算计划，上党组会研究确定最终预算方案。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Strong"/>
          <w:rFonts w:ascii="楷体" w:eastAsia="楷体" w:hAnsi="楷体" w:hint="eastAsia"/>
          <w:b w:val="0"/>
          <w:bCs w:val="0"/>
          <w:spacing w:val="-4"/>
          <w:sz w:val="32"/>
          <w:szCs w:val="32"/>
          <w:lang w:eastAsia="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本项目总投资109.43万元，财政资金及时足额到位，到位率100%，预算资金按计划进度执行。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预算编制较为详细，项目资金支出总体能够按照预算执行，预算资金支出107.06万元，预算执行率为97.83%。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任务下达后，我单位制定了《裕民县成品粮油储备管理制度》对经费使用进行规范管理，财务制度健全、执行严格。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项目产出类指标包括产出数量、产出质量、产出时效、产出成本四方面的内容，由11个三级指标构成，权重分为40分，实际得分39.78分，得分率为99.45%。具体产出指标完成情况如下：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指标1：小麦原粮储备数量，指标值：=3396吨，实际完成值：3396吨，指标完成率100%。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指标2：成品粮面粉储备数量，指标值：=271吨，实际完成值：271吨，指标完成率100%。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指标3：食用油储备数量，指标值：=36吨，实际完成值：36吨，指标完成率100%。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指标4：成品粮轮换次数，指标值：=4次，实际完成值：4次，指标完成率100%。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指标5：成品油轮换次数，指标值：=2次，实际完成值：2次，指标完成率100%。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指标1：储备原粮及成品粮油质量合格率，指标值：=100%，实际完成值：100%，指标完成率100%。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指标1：储备完成时限，指标值：2024年12月前，实际完成值：2024年12月前，指标完成率100%。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指标2：资金支付及时率，指标值：=100%，实际完成值：100%，指标完成率100%。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指标1：原粮及成品粮油保管费用，指标值：&lt;=40.22万元，实际完成值：40.22万元，指标完成率100%。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指标2：成品粮油轮换费，指标值：&lt;=24.68万元，实际完成值：24.68万元，指标完成率100%。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3：原粮及成品粮油保管费用，指标值：&lt;=44.52万元，实际完成值：42.16万元，指标完成率94.70%，偏差率5.30%，偏差原因为：由于利率变化，导致资金实际支付金额小于目标金额；改进措施：与项目负责人沟通交流，精准制定项目绩效目标。</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项目效益类指标包括项目实施效益和满意度两方面的内容，由2个三级指标构成，权重分为20分，实际得分20分，得分率为100%。具体效益指标完成情况如下：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1.实施效益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指标1：保障本县原粮及成品粮油储备，指标值：有效保障，实际完成值：有效保障，指标完成率100%。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指标2：提升应对自然灾害或突发事件能力，指标值：有效提升，实际完成值：有效提升，指标完成率100%。</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 裕民县县级粮油储备及成品粮油储备项目年初预算109.43万元，全年预算109.43万元，实际支出107.06万元，预算执行率为97.83%，项目绩效指标总体完成率为99.59%，总体偏差率为1.76%，偏差原因由于利率变化，导致年初贷款贴息预算费用大于实际支出费用，改进措施与项目负责人经常沟通交流，精准制定项目绩效目标。</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1.强化责任落实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县发改委（粮食和物资储备局）与承储企业签订了裕民县成品粮油承储合同，明确责任分工，确保县级成品粮油数量真实、质量良好、保管安全。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2.建立监管机制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县发改委（粮食和物资储备局）研究制定了《裕民县成品粮油储备管理办法》，要求承储企业严格按要求做好轮换、保管等工作，建立出入库台账，加强资金使用管理，提高了资金使用效益。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1.定期巡查工作有待加强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粮食行政管理部门缺乏专业人员，未定期开展政策性粮食库存检查工作，未重复发挥项目绩效领导小组作用。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2.承储企业轮换压力大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由国有粮食收储企业将成品粮油储备任务委托给粮油加工企业，签订储备合同，指导企业严格按照要求开展储备工作。</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keepNext w:val="0"/>
        <w:keepLines w:val="0"/>
        <w:pageBreakBefore w:val="0"/>
        <w:widowControl w:val="0"/>
        <w:kinsoku/>
        <w:wordWrap/>
        <w:overflowPunct/>
        <w:topLinePunct w:val="0"/>
        <w:autoSpaceDE/>
        <w:autoSpaceDN/>
        <w:bidi w:val="0"/>
        <w:adjustRightInd w:val="0"/>
        <w:snapToGrid w:val="0"/>
        <w:spacing w:line="560" w:lineRule="exact"/>
        <w:ind w:left="1278" w:hanging="640" w:leftChars="304" w:hanging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 加强组织领导</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充分发挥项目绩效领导小组的作用，对绩效评价工作进行指导、监督、检查，确保项目绩效评价反映项目完成真实情况。严格执行项目绩效评价工作要求，切实提高项目绩效报告的客观性和公正性。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2.加强培训教育</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采取多种培训形式对单位财务人员、业务科室人员进行集中培训，进一步树牢绩效观念，提高本单位工作人员的绩效管理能力和工作水平，为预算绩效管理相关工作的顺利开展提供保障。</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lang w:eastAsia="zh-CN"/>
        </w:rPr>
        <w:t xml:space="preserve">无</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仿宋" w:eastAsia="仿宋" w:hAnsi="仿宋"/>
          <w:b w:val="0"/>
          <w:spacing w:val="-4"/>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仿宋" w:eastAsia="仿宋" w:hAnsi="仿宋"/>
          <w:b w:val="0"/>
          <w:spacing w:val="-4"/>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仿宋" w:eastAsia="仿宋" w:hAnsi="仿宋"/>
          <w:b w:val="0"/>
          <w:spacing w:val="-4"/>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9E9641510FCB40E281C8DADB7C7A61E5_13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3</Pages>
  <Words>107</Words>
  <Characters>612</Characters>
  <Application>WPS Office_12.1.0.15120_F1E327BC-269C-435d-A152-05C5408002CA</Application>
  <DocSecurity>0</DocSecurity>
  <Lines>5</Lines>
  <Paragraphs>1</Paragraphs>
  <CharactersWithSpaces>718</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郭子歪</cp:lastModifiedBy>
  <cp:revision>19</cp:revision>
  <cp:lastPrinted>2018-12-31T10:56:00Z</cp:lastPrinted>
  <dcterms:created xsi:type="dcterms:W3CDTF">2018-08-15T02:06:00Z</dcterms:created>
  <dcterms:modified xsi:type="dcterms:W3CDTF">2025-09-19T02:13:49Z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9E9641510FCB40E281C8DADB7C7A61E5_13</vt:lpwstr>
  </property>
</Properties>
</file>