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ascii="仿宋" w:eastAsia="仿宋" w:hAnsi="仿宋" w:cs="宋体"/>
          <w:kern w:val="0"/>
          <w:sz w:val="32"/>
          <w:szCs w:val="32"/>
        </w:rPr>
      </w:pPr>
      <w:r>
        <w:rPr>
          <w:rFonts w:ascii="仿宋" w:eastAsia="仿宋" w:hAnsi="仿宋" w:cs="宋体" w:hint="eastAsia"/>
          <w:kern w:val="0"/>
          <w:sz w:val="32"/>
          <w:szCs w:val="32"/>
        </w:rPr>
        <w:t xml:space="preserve">附件2：</w:t>
      </w:r>
    </w:p>
    <w:p>
      <w:pPr>
        <w:keepNext w:val="0"/>
        <w:keepLines w:val="0"/>
        <w:pageBreakBefore w:val="0"/>
        <w:widowControl w:val="0"/>
        <w:kinsoku/>
        <w:wordWrap/>
        <w:overflowPunct/>
        <w:topLinePunct w:val="0"/>
        <w:autoSpaceDE/>
        <w:autoSpaceDN/>
        <w:bidi w:val="0"/>
        <w:adjustRightInd w:val="0"/>
        <w:snapToGrid w:val="0"/>
        <w:spacing w:line="560" w:lineRule="exact"/>
        <w:ind w:firstLine="1040" w:firstLineChars="200"/>
        <w:jc w:val="left"/>
        <w:textAlignment w:val="auto"/>
        <w:rPr>
          <w:rFonts w:ascii="华文中宋" w:eastAsia="华文中宋" w:hAnsi="华文中宋" w:cs="宋体"/>
          <w:b/>
          <w:kern w:val="0"/>
          <w:sz w:val="52"/>
          <w:szCs w:val="52"/>
        </w:rPr>
      </w:pPr>
    </w:p>
    <w:p>
      <w:pPr>
        <w:keepNext w:val="0"/>
        <w:keepLines w:val="0"/>
        <w:pageBreakBefore w:val="0"/>
        <w:widowControl w:val="0"/>
        <w:kinsoku/>
        <w:wordWrap/>
        <w:overflowPunct/>
        <w:topLinePunct w:val="0"/>
        <w:autoSpaceDE/>
        <w:autoSpaceDN/>
        <w:bidi w:val="0"/>
        <w:adjustRightInd w:val="0"/>
        <w:snapToGrid w:val="0"/>
        <w:spacing w:line="560" w:lineRule="exact"/>
        <w:ind w:firstLine="1040" w:firstLineChars="200"/>
        <w:jc w:val="left"/>
        <w:textAlignment w:val="auto"/>
        <w:rPr>
          <w:rFonts w:ascii="华文中宋" w:eastAsia="华文中宋" w:hAnsi="华文中宋" w:cs="宋体"/>
          <w:b/>
          <w:kern w:val="0"/>
          <w:sz w:val="52"/>
          <w:szCs w:val="52"/>
        </w:rPr>
      </w:pPr>
    </w:p>
    <w:p>
      <w:pPr>
        <w:keepNext w:val="0"/>
        <w:keepLines w:val="0"/>
        <w:pageBreakBefore w:val="0"/>
        <w:widowControl w:val="0"/>
        <w:kinsoku/>
        <w:wordWrap/>
        <w:overflowPunct/>
        <w:topLinePunct w:val="0"/>
        <w:autoSpaceDE/>
        <w:autoSpaceDN/>
        <w:bidi w:val="0"/>
        <w:adjustRightInd w:val="0"/>
        <w:snapToGrid w:val="0"/>
        <w:spacing w:line="560" w:lineRule="exact"/>
        <w:ind w:firstLine="1040" w:firstLineChars="200"/>
        <w:jc w:val="left"/>
        <w:textAlignment w:val="auto"/>
        <w:rPr>
          <w:rFonts w:ascii="华文中宋" w:eastAsia="华文中宋" w:hAnsi="华文中宋" w:cs="宋体"/>
          <w:b/>
          <w:kern w:val="0"/>
          <w:sz w:val="52"/>
          <w:szCs w:val="52"/>
        </w:rPr>
      </w:pPr>
    </w:p>
    <w:p>
      <w:pPr>
        <w:keepNext w:val="0"/>
        <w:keepLines w:val="0"/>
        <w:pageBreakBefore w:val="0"/>
        <w:widowControl w:val="0"/>
        <w:kinsoku/>
        <w:wordWrap/>
        <w:overflowPunct/>
        <w:topLinePunct w:val="0"/>
        <w:autoSpaceDE/>
        <w:autoSpaceDN/>
        <w:bidi w:val="0"/>
        <w:adjustRightInd w:val="0"/>
        <w:snapToGrid w:val="0"/>
        <w:spacing w:line="560" w:lineRule="exact"/>
        <w:ind w:firstLine="1040" w:firstLineChars="200"/>
        <w:jc w:val="left"/>
        <w:textAlignment w:val="auto"/>
        <w:rPr>
          <w:rFonts w:ascii="华文中宋" w:eastAsia="华文中宋" w:hAnsi="华文中宋" w:cs="宋体"/>
          <w:b/>
          <w:kern w:val="0"/>
          <w:sz w:val="52"/>
          <w:szCs w:val="52"/>
        </w:rPr>
      </w:pPr>
    </w:p>
    <w:p>
      <w:pPr>
        <w:keepNext w:val="0"/>
        <w:keepLines w:val="0"/>
        <w:pageBreakBefore w:val="0"/>
        <w:widowControl w:val="0"/>
        <w:kinsoku/>
        <w:wordWrap/>
        <w:overflowPunct/>
        <w:topLinePunct w:val="0"/>
        <w:autoSpaceDE/>
        <w:autoSpaceDN/>
        <w:bidi w:val="0"/>
        <w:adjustRightInd w:val="0"/>
        <w:snapToGrid w:val="0"/>
        <w:spacing w:line="560" w:lineRule="exact"/>
        <w:ind w:firstLine="1040" w:firstLineChars="200"/>
        <w:jc w:val="left"/>
        <w:textAlignment w:val="auto"/>
        <w:rPr>
          <w:rFonts w:ascii="华文中宋" w:eastAsia="华文中宋" w:hAnsi="华文中宋" w:cs="宋体"/>
          <w:b/>
          <w:kern w:val="0"/>
          <w:sz w:val="52"/>
          <w:szCs w:val="52"/>
        </w:rPr>
      </w:pPr>
    </w:p>
    <w:p>
      <w:pPr>
        <w:keepNext w:val="0"/>
        <w:keepLines w:val="0"/>
        <w:pageBreakBefore w:val="0"/>
        <w:widowControl w:val="0"/>
        <w:kinsoku/>
        <w:wordWrap/>
        <w:overflowPunct/>
        <w:topLinePunct w:val="0"/>
        <w:autoSpaceDE/>
        <w:autoSpaceDN/>
        <w:bidi w:val="0"/>
        <w:adjustRightInd w:val="0"/>
        <w:snapToGrid w:val="0"/>
        <w:spacing w:line="560" w:lineRule="exact"/>
        <w:ind w:firstLine="1040" w:firstLineChars="200"/>
        <w:jc w:val="left"/>
        <w:textAlignment w:val="auto"/>
        <w:rPr>
          <w:rFonts w:ascii="华文中宋" w:eastAsia="华文中宋" w:hAnsi="华文中宋" w:cs="宋体"/>
          <w:b/>
          <w:kern w:val="0"/>
          <w:sz w:val="52"/>
          <w:szCs w:val="52"/>
        </w:rPr>
      </w:pPr>
    </w:p>
    <w:p>
      <w:pPr>
        <w:keepNext w:val="0"/>
        <w:keepLines w:val="0"/>
        <w:pageBreakBefore w:val="0"/>
        <w:widowControl w:val="0"/>
        <w:kinsoku/>
        <w:wordWrap/>
        <w:overflowPunct/>
        <w:topLinePunct w:val="0"/>
        <w:autoSpaceDE/>
        <w:autoSpaceDN/>
        <w:bidi w:val="0"/>
        <w:adjustRightInd w:val="0"/>
        <w:snapToGrid w:val="0"/>
        <w:spacing w:line="560" w:lineRule="exact"/>
        <w:ind w:firstLine="960" w:firstLineChars="200"/>
        <w:jc w:val="center"/>
        <w:textAlignment w:val="auto"/>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keepNext w:val="0"/>
        <w:keepLines w:val="0"/>
        <w:pageBreakBefore w:val="0"/>
        <w:widowControl w:val="0"/>
        <w:kinsoku/>
        <w:wordWrap/>
        <w:overflowPunct/>
        <w:topLinePunct w:val="0"/>
        <w:autoSpaceDE/>
        <w:autoSpaceDN/>
        <w:bidi w:val="0"/>
        <w:adjustRightInd w:val="0"/>
        <w:snapToGrid w:val="0"/>
        <w:spacing w:line="560" w:lineRule="exact"/>
        <w:ind w:firstLine="1040" w:firstLineChars="200"/>
        <w:jc w:val="left"/>
        <w:textAlignment w:val="auto"/>
        <w:rPr>
          <w:rFonts w:ascii="华文中宋" w:eastAsia="华文中宋" w:hAnsi="华文中宋" w:cs="宋体"/>
          <w:b/>
          <w:kern w:val="0"/>
          <w:sz w:val="52"/>
          <w:szCs w:val="52"/>
        </w:rPr>
      </w:pPr>
    </w:p>
    <w:p>
      <w:pPr>
        <w:keepNext w:val="0"/>
        <w:keepLines w:val="0"/>
        <w:pageBreakBefore w:val="0"/>
        <w:widowControl w:val="0"/>
        <w:kinsoku/>
        <w:wordWrap/>
        <w:overflowPunct/>
        <w:topLinePunct w:val="0"/>
        <w:autoSpaceDE/>
        <w:autoSpaceDN/>
        <w:bidi w:val="0"/>
        <w:adjustRightInd w:val="0"/>
        <w:snapToGrid w:val="0"/>
        <w:spacing w:line="560" w:lineRule="exact"/>
        <w:ind w:firstLine="720" w:firstLineChars="200"/>
        <w:jc w:val="center"/>
        <w:textAlignment w:val="auto"/>
        <w:rPr>
          <w:rFonts w:eastAsia="仿宋_GB2312" w:hAnsi="宋体" w:cs="宋体"/>
          <w:kern w:val="0"/>
          <w:sz w:val="36"/>
          <w:szCs w:val="36"/>
        </w:rPr>
      </w:pPr>
      <w:r>
        <w:rPr>
          <w:rFonts w:eastAsia="仿宋_GB2312" w:hAnsi="宋体" w:cs="宋体" w:hint="eastAsia"/>
          <w:kern w:val="0"/>
          <w:sz w:val="36"/>
          <w:szCs w:val="36"/>
        </w:rPr>
        <w:t xml:space="preserve">（</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年度）</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left"/>
        <w:textAlignment w:val="auto"/>
        <w:rPr>
          <w:rFonts w:eastAsia="仿宋_GB2312" w:hAnsi="宋体" w:cs="宋体"/>
          <w:kern w:val="0"/>
          <w:sz w:val="30"/>
          <w:szCs w:val="30"/>
        </w:rPr>
      </w:pP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left"/>
        <w:textAlignment w:val="auto"/>
        <w:rPr>
          <w:rFonts w:eastAsia="仿宋_GB2312" w:hAnsi="宋体" w:cs="宋体"/>
          <w:kern w:val="0"/>
          <w:sz w:val="30"/>
          <w:szCs w:val="30"/>
        </w:rPr>
      </w:pP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left"/>
        <w:textAlignment w:val="auto"/>
        <w:rPr>
          <w:rFonts w:eastAsia="仿宋_GB2312" w:hAnsi="宋体" w:cs="宋体"/>
          <w:kern w:val="0"/>
          <w:sz w:val="30"/>
          <w:szCs w:val="30"/>
        </w:rPr>
      </w:pP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left"/>
        <w:textAlignment w:val="auto"/>
        <w:rPr>
          <w:rFonts w:eastAsia="仿宋_GB2312" w:hAnsi="宋体" w:cs="宋体"/>
          <w:kern w:val="0"/>
          <w:sz w:val="30"/>
          <w:szCs w:val="30"/>
        </w:rPr>
      </w:pP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left"/>
        <w:textAlignment w:val="auto"/>
        <w:rPr>
          <w:rFonts w:eastAsia="仿宋_GB2312" w:hAnsi="宋体" w:cs="宋体"/>
          <w:kern w:val="0"/>
          <w:sz w:val="30"/>
          <w:szCs w:val="30"/>
        </w:rPr>
      </w:pP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left"/>
        <w:textAlignment w:val="auto"/>
        <w:rPr>
          <w:rFonts w:eastAsia="仿宋_GB2312" w:hAnsi="宋体" w:cs="宋体"/>
          <w:kern w:val="0"/>
          <w:sz w:val="30"/>
          <w:szCs w:val="30"/>
        </w:rPr>
      </w:pP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left"/>
        <w:textAlignment w:val="auto"/>
        <w:rPr>
          <w:rFonts w:eastAsia="仿宋_GB2312" w:hAnsi="宋体" w:cs="宋体"/>
          <w:kern w:val="0"/>
          <w:sz w:val="30"/>
          <w:szCs w:val="30"/>
        </w:rPr>
      </w:pPr>
    </w:p>
    <w:p>
      <w:pPr>
        <w:keepNext w:val="0"/>
        <w:keepLines w:val="0"/>
        <w:pageBreakBefore w:val="0"/>
        <w:widowControl w:val="0"/>
        <w:kinsoku/>
        <w:wordWrap/>
        <w:overflowPunct/>
        <w:topLinePunct w:val="0"/>
        <w:autoSpaceDE/>
        <w:autoSpaceDN/>
        <w:bidi w:val="0"/>
        <w:adjustRightInd w:val="0"/>
        <w:snapToGrid w:val="0"/>
        <w:spacing w:line="560" w:lineRule="exact"/>
        <w:ind w:firstLine="720" w:firstLineChars="200"/>
        <w:jc w:val="left"/>
        <w:textAlignment w:val="auto"/>
        <w:rPr>
          <w:rFonts w:eastAsia="仿宋_GB2312" w:hAnsi="宋体" w:cs="宋体"/>
          <w:kern w:val="0"/>
          <w:sz w:val="36"/>
          <w:szCs w:val="36"/>
        </w:rPr>
      </w:pPr>
      <w:r>
        <w:rPr>
          <w:rFonts w:eastAsia="仿宋_GB2312" w:hAnsi="宋体" w:cs="宋体" w:hint="eastAsia"/>
          <w:kern w:val="0"/>
          <w:sz w:val="36"/>
          <w:szCs w:val="36"/>
        </w:rPr>
        <w:t xml:space="preserve">     </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ascii="楷体" w:eastAsia="楷体" w:hAnsi="楷体" w:cs="楷体" w:hint="eastAsia"/>
          <w:b w:val="0"/>
          <w:bCs w:val="0"/>
          <w:kern w:val="0"/>
          <w:sz w:val="32"/>
          <w:szCs w:val="32"/>
        </w:rPr>
      </w:pPr>
      <w:r>
        <w:rPr>
          <w:rFonts w:ascii="楷体" w:eastAsia="楷体" w:hAnsi="楷体" w:cs="楷体" w:hint="eastAsia"/>
          <w:b w:val="0"/>
          <w:bCs w:val="0"/>
          <w:kern w:val="0"/>
          <w:sz w:val="32"/>
          <w:szCs w:val="32"/>
        </w:rPr>
        <w:t xml:space="preserve">项目名称：</w:t>
      </w:r>
      <w:r>
        <w:rPr>
          <w:rStyle w:val="Strong"/>
          <w:rFonts w:ascii="楷体" w:eastAsia="楷体" w:hAnsi="楷体" w:cs="楷体" w:hint="eastAsia"/>
          <w:b w:val="0"/>
          <w:bCs w:val="0"/>
          <w:spacing w:val="-4"/>
          <w:sz w:val="32"/>
          <w:szCs w:val="32"/>
        </w:rPr>
        <w:t xml:space="preserve">裕民县县级粮油储备及成品粮油储备</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ascii="楷体" w:eastAsia="楷体" w:hAnsi="楷体" w:cs="楷体" w:hint="eastAsia"/>
          <w:b w:val="0"/>
          <w:bCs w:val="0"/>
          <w:spacing w:val="-4"/>
          <w:sz w:val="32"/>
          <w:szCs w:val="32"/>
        </w:rPr>
      </w:pPr>
      <w:r>
        <w:rPr>
          <w:rFonts w:ascii="楷体" w:eastAsia="楷体" w:hAnsi="楷体" w:cs="楷体" w:hint="eastAsia"/>
          <w:b w:val="0"/>
          <w:bCs w:val="0"/>
          <w:kern w:val="0"/>
          <w:sz w:val="32"/>
          <w:szCs w:val="32"/>
        </w:rPr>
        <w:t xml:space="preserve">实施单位（公章）：</w:t>
      </w:r>
      <w:r>
        <w:rPr>
          <w:rStyle w:val="Strong"/>
          <w:rFonts w:ascii="楷体" w:eastAsia="楷体" w:hAnsi="楷体" w:cs="楷体" w:hint="eastAsia"/>
          <w:b w:val="0"/>
          <w:bCs w:val="0"/>
          <w:spacing w:val="-4"/>
          <w:sz w:val="32"/>
          <w:szCs w:val="32"/>
        </w:rPr>
        <w:t xml:space="preserve">裕民县发展和改革委员会</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ascii="楷体" w:eastAsia="楷体" w:hAnsi="楷体" w:cs="楷体" w:hint="eastAsia"/>
          <w:b w:val="0"/>
          <w:bCs w:val="0"/>
          <w:spacing w:val="-4"/>
          <w:sz w:val="32"/>
          <w:szCs w:val="32"/>
        </w:rPr>
      </w:pPr>
      <w:r>
        <w:rPr>
          <w:rFonts w:ascii="楷体" w:eastAsia="楷体" w:hAnsi="楷体" w:cs="楷体" w:hint="eastAsia"/>
          <w:b w:val="0"/>
          <w:bCs w:val="0"/>
          <w:kern w:val="0"/>
          <w:sz w:val="32"/>
          <w:szCs w:val="32"/>
        </w:rPr>
        <w:t xml:space="preserve">主管部门（公章）：</w:t>
      </w:r>
      <w:r>
        <w:rPr>
          <w:rStyle w:val="Strong"/>
          <w:rFonts w:ascii="楷体" w:eastAsia="楷体" w:hAnsi="楷体" w:cs="楷体" w:hint="eastAsia"/>
          <w:b w:val="0"/>
          <w:bCs w:val="0"/>
          <w:spacing w:val="-4"/>
          <w:sz w:val="32"/>
          <w:szCs w:val="32"/>
        </w:rPr>
        <w:t xml:space="preserve">裕民县发展和改革委员会</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ascii="楷体" w:eastAsia="楷体" w:hAnsi="楷体" w:cs="楷体" w:hint="eastAsia"/>
          <w:b w:val="0"/>
          <w:bCs w:val="0"/>
          <w:spacing w:val="-4"/>
          <w:sz w:val="32"/>
          <w:szCs w:val="32"/>
        </w:rPr>
      </w:pPr>
      <w:r>
        <w:rPr>
          <w:rFonts w:ascii="楷体" w:eastAsia="楷体" w:hAnsi="楷体" w:cs="楷体" w:hint="eastAsia"/>
          <w:b w:val="0"/>
          <w:bCs w:val="0"/>
          <w:kern w:val="0"/>
          <w:sz w:val="32"/>
          <w:szCs w:val="32"/>
        </w:rPr>
        <w:t xml:space="preserve">项目负责人（签章）：</w:t>
      </w:r>
      <w:r>
        <w:rPr>
          <w:rStyle w:val="Strong"/>
          <w:rFonts w:ascii="楷体" w:eastAsia="楷体" w:hAnsi="楷体" w:cs="楷体" w:hint="eastAsia"/>
          <w:b w:val="0"/>
          <w:bCs w:val="0"/>
          <w:spacing w:val="-4"/>
          <w:sz w:val="32"/>
          <w:szCs w:val="32"/>
        </w:rPr>
        <w:t xml:space="preserve">薛建</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Style w:val="Strong"/>
          <w:rFonts w:ascii="楷体" w:eastAsia="楷体" w:hAnsi="楷体" w:cs="楷体" w:hint="eastAsia"/>
          <w:b w:val="0"/>
          <w:bCs w:val="0"/>
          <w:spacing w:val="-4"/>
          <w:sz w:val="32"/>
          <w:szCs w:val="32"/>
        </w:rPr>
      </w:pPr>
      <w:r>
        <w:rPr>
          <w:rFonts w:ascii="楷体" w:eastAsia="楷体" w:hAnsi="楷体" w:cs="楷体" w:hint="eastAsia"/>
          <w:b w:val="0"/>
          <w:bCs w:val="0"/>
          <w:kern w:val="0"/>
          <w:sz w:val="32"/>
          <w:szCs w:val="32"/>
        </w:rPr>
        <w:t xml:space="preserve">填报时间：</w:t>
      </w:r>
      <w:r>
        <w:rPr>
          <w:rFonts w:ascii="楷体" w:eastAsia="楷体" w:hAnsi="楷体" w:cs="楷体" w:hint="eastAsia"/>
          <w:b w:val="0"/>
          <w:bCs w:val="0"/>
          <w:kern w:val="0"/>
          <w:sz w:val="32"/>
          <w:szCs w:val="32"/>
          <w:lang w:eastAsia="zh-CN"/>
        </w:rPr>
        <w:t xml:space="preserve">2025年4月16日</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left"/>
        <w:textAlignment w:val="auto"/>
        <w:rPr>
          <w:rFonts w:eastAsia="仿宋_GB2312" w:hAnsi="宋体" w:cs="宋体"/>
          <w:kern w:val="0"/>
          <w:sz w:val="30"/>
          <w:szCs w:val="30"/>
        </w:rPr>
      </w:pP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Style w:val="Strong"/>
          <w:rFonts w:ascii="黑体" w:eastAsia="黑体" w:hAnsi="黑体"/>
          <w:b w:val="0"/>
          <w:spacing w:val="-4"/>
          <w:sz w:val="32"/>
          <w:szCs w:val="32"/>
        </w:rPr>
      </w:pPr>
    </w:p>
    <w:p>
      <w:pPr>
        <w:keepNext w:val="0"/>
        <w:keepLines w:val="0"/>
        <w:pageBreakBefore w:val="0"/>
        <w:widowControl w:val="0"/>
        <w:numPr>
          <w:ilvl w:val="0"/>
          <w:numId w:val="3"/>
        </w:numPr>
        <w:kinsoku/>
        <w:wordWrap/>
        <w:overflowPunct/>
        <w:topLinePunct w:val="0"/>
        <w:autoSpaceDE/>
        <w:autoSpaceDN/>
        <w:bidi w:val="0"/>
        <w:adjustRightInd w:val="0"/>
        <w:snapToGrid w:val="0"/>
        <w:spacing w:line="560" w:lineRule="exact"/>
        <w:jc w:val="left"/>
        <w:textAlignment w:val="auto"/>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基本情况</w:t>
      </w:r>
    </w:p>
    <w:p>
      <w:pPr>
        <w:keepNext w:val="0"/>
        <w:keepLines w:val="0"/>
        <w:pageBreakBefore w:val="0"/>
        <w:widowControl w:val="0"/>
        <w:numPr>
          <w:numId w:val="0"/>
        </w:numPr>
        <w:kinsoku/>
        <w:wordWrap/>
        <w:overflowPunct/>
        <w:topLinePunct w:val="0"/>
        <w:autoSpaceDE/>
        <w:autoSpaceDN/>
        <w:bidi w:val="0"/>
        <w:adjustRightInd w:val="0"/>
        <w:snapToGrid w:val="0"/>
        <w:spacing w:line="560" w:lineRule="exact"/>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spacing w:val="-4"/>
          <w:sz w:val="32"/>
          <w:szCs w:val="32"/>
        </w:rPr>
        <w:t xml:space="preserve">（一）项目概况</w:t>
      </w:r>
    </w:p>
    <w:p>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为认真贯彻落实自治区党委办公厅、自治区人民政府办公厅印发的《关于改革完善体制机制加强粮食储备安全管理的若干意见》，根据关于建立县（市）级成品粮油储备、小麦原粮的通知（塔粮安协调办[2020]6号）文件、《关于改革完善体制机制加强粮食储备安全管理的实施意见》的通知（塔地党办[2020]23号）文件、《关于加强地方储备粮管理增强区域粮食安全保障能力的实施意见》（新粮粮[2020]104号）文件、塔城地区发改委转发《关于加强地方储备粮管理增强区域粮食安全保障能力的实施意见》（塔地发改粮食[2020]39号）文件要求，建立县级成品粮油储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进一步夯实粮食储备安全管理责任，</w:t>
      </w:r>
      <w:r>
        <w:rPr>
          <w:rStyle w:val="Strong"/>
          <w:rFonts w:ascii="楷体" w:eastAsia="楷体" w:hAnsi="楷体" w:hint="eastAsia"/>
          <w:b w:val="0"/>
          <w:bCs w:val="0"/>
          <w:spacing w:val="-4"/>
          <w:sz w:val="32"/>
          <w:szCs w:val="32"/>
          <w:lang w:eastAsia="zh-CN"/>
        </w:rPr>
        <w:t xml:space="preserve">更好地服务</w:t>
      </w:r>
      <w:r>
        <w:rPr>
          <w:rStyle w:val="Strong"/>
          <w:rFonts w:ascii="楷体" w:eastAsia="楷体" w:hAnsi="楷体" w:hint="eastAsia"/>
          <w:b w:val="0"/>
          <w:bCs w:val="0"/>
          <w:spacing w:val="-4"/>
          <w:sz w:val="32"/>
          <w:szCs w:val="32"/>
        </w:rPr>
        <w:t xml:space="preserve">宏观调控，建立县级成品粮油储备、小麦原粮储备能够有效提升应对自然灾害或突发事件能力，确保我县粮食安全。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按照关于建立县（市）级成品粮油储备的通知（塔粮安协调办[2020]6号）、《关于改革完善体制机制加强粮食储备安全管理的实施意见》的通知（塔地党办[2020]23号）文件要求，我县人口数51595人，人均每天面粉储备标准是350克，储备天数15天，储备总量为271吨；人均每天食用油储备标准46克，储备天数15天，储备总量为36吨。储备小麦原粮总量为3396吨；所需储备贷款由中国农业发展银行裕民县支行按有关文件规定和要求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主要内容：按照关于建立县（市）级成品粮油储备的通知（塔粮安协调办[2020]6号）、《关于改革完善体制机制加强粮食储备安全管理的实施意见》的通知（塔地党办[2020]23号）文件要求，我县人口数51595人，人均每天面粉储备标准是350克，储备天数15天，储备总量为271吨；人均每天食用油储备标准46克，储备天数15天，储备总量为36吨。储备小麦原粮总量为3396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实施情况：本项目于2024年1月开始实施，截至2024年12月，该项目已实施完成，各项任务指标全部完成。通过本项目的实施，有效解决了县级成品粮油、小麦原粮储备不足的问题，提升了应急保障能力，增强了应对自然灾害和突发事件的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（1）资金投入情况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该项目年初预算数109.43万元，全年预算数109.43万元，该项目资金已全部落实到位，资金来源为财政拨款。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该项目年初预算数109.43万元</w:t>
      </w:r>
      <w:r>
        <w:rPr>
          <w:rStyle w:val="Strong"/>
          <w:rFonts w:ascii="楷体" w:eastAsia="楷体" w:hAnsi="楷体" w:hint="eastAsia"/>
          <w:b w:val="0"/>
          <w:bCs w:val="0"/>
          <w:spacing w:val="-4"/>
          <w:sz w:val="32"/>
          <w:szCs w:val="32"/>
          <w:lang w:eastAsia="zh-CN"/>
        </w:rPr>
        <w:t xml:space="preserve">，</w:t>
      </w:r>
      <w:r>
        <w:rPr>
          <w:rStyle w:val="Strong"/>
          <w:rFonts w:ascii="楷体" w:eastAsia="楷体" w:hAnsi="楷体" w:hint="eastAsia"/>
          <w:b w:val="0"/>
          <w:bCs w:val="0"/>
          <w:spacing w:val="-4"/>
          <w:sz w:val="32"/>
          <w:szCs w:val="32"/>
        </w:rPr>
        <w:t xml:space="preserve">全年预算数109.43万元，全年执行数107.06万元，预算执行率为97.83%，主要用于：用于支付成品粮油保管费、轮换费、贷款贴息费用合计35.99万元；用于支付小麦原粮保管费、轮换费、贷款贴息费用合计71.07万元。</w:t>
      </w:r>
    </w:p>
    <w:p>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2024年我单位计划支出109.43万元，用于县级原粮储备及成品粮油储备，小麦原粮储备3396吨、成品粮面粉储备271吨、食用油储备36吨。通过项目的全年实施，确保有效提升应对自然灾害或突发事件能力。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2024年度，我单位按季度支付项目资金，完成了成品粮轮换4次（按季度轮换）；成品油轮换2次（半年轮换）；小麦原粮储备数量3396吨；成品粮面粉储备数量271吨，食用油储备数量36吨；共计支付107.06万元，有效提升应对自然灾害或突发事件能力。</w:t>
      </w:r>
    </w:p>
    <w:p>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Style w:val="Strong"/>
          <w:rFonts w:ascii="楷体" w:eastAsia="楷体" w:hAnsi="楷体"/>
          <w:b w:val="0"/>
          <w:bCs w:val="0"/>
          <w:spacing w:val="-4"/>
          <w:sz w:val="32"/>
          <w:szCs w:val="32"/>
        </w:rPr>
      </w:pPr>
      <w:r>
        <w:rPr>
          <w:rStyle w:val="Strong"/>
          <w:rFonts w:ascii="楷体" w:eastAsia="楷体" w:hAnsi="楷体" w:hint="eastAsia"/>
          <w:spacing w:val="-4"/>
          <w:sz w:val="32"/>
          <w:szCs w:val="32"/>
        </w:rPr>
        <w:t xml:space="preserve">（一）绩效评价目的、对象和范围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评价指标体系的构建上，充分考虑了项目的性质、目标以及预期成果，选取了具有代表性和可衡量性的关键指标，从社会效益这个方面反映项目的绩效状况。同时，对于每个指标的评价标准和数据来源均进行了明确说明，确保评价结果的客观性和可追溯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Style w:val="Strong"/>
          <w:rFonts w:ascii="楷体" w:eastAsia="楷体" w:hAnsi="楷体" w:hint="eastAsia"/>
          <w:b w:val="0"/>
          <w:bCs w:val="0"/>
          <w:spacing w:val="-4"/>
          <w:sz w:val="32"/>
          <w:szCs w:val="32"/>
          <w:lang w:eastAsia="zh-CN"/>
        </w:rPr>
        <w:t xml:space="preserve">。</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（1）评估项目实施效果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通过对项目预算执行情况及各项绩效目标达成程度的系统性分析，全面、客观地评估项目在预定周期内的实施效果，从社会效益指标为项目后续的改进与优化提供科学依据。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（2）提升资源利用效率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（3）强化项目管理责任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（4）为决策提供支持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（5）促进项目持续改进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3.绩效评价的对象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预算绩效评价报告的评价对象是裕民县县级粮油储备及成品粮油储备及其预算执行情况。该项目由裕民县发改委（裕民县粮食和物资储备局）负责实施，旨在通过储备小麦原粮3396吨、成品粮面粉271吨、食用油36吨，确保有效提升应对自然灾害或突发事件能力。项目预算涵盖从2024年1月1日至2024年12月25日的全部资金投入与支出，涉及资金总额为107.06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4.绩效评价的范围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（2）资金管理：深入分析项目资金的分配、使用和监管情况，确保资金使用的合规性、高效性和透明度。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（4）社会、生态等影响：考察项目对社会的综合影响。</w:t>
      </w:r>
    </w:p>
    <w:p>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Style w:val="Strong"/>
          <w:rFonts w:ascii="楷体" w:eastAsia="楷体" w:hAnsi="楷体" w:hint="eastAsia"/>
          <w:b w:val="0"/>
          <w:bCs w:val="0"/>
          <w:spacing w:val="-4"/>
          <w:sz w:val="32"/>
          <w:szCs w:val="32"/>
          <w:lang w:val="en-US" w:eastAsia="zh-CN"/>
        </w:rPr>
      </w:pPr>
      <w:r>
        <w:rPr>
          <w:rStyle w:val="Strong"/>
          <w:rFonts w:ascii="楷体" w:eastAsia="楷体" w:hAnsi="楷体" w:hint="eastAsia"/>
          <w:b w:val="0"/>
          <w:bCs w:val="0"/>
          <w:spacing w:val="-4"/>
          <w:sz w:val="32"/>
          <w:szCs w:val="32"/>
        </w:rPr>
        <w:t xml:space="preserve">1.绩效评价</w:t>
      </w:r>
      <w:r>
        <w:rPr>
          <w:rStyle w:val="Strong"/>
          <w:rFonts w:ascii="楷体" w:eastAsia="楷体" w:hAnsi="楷体" w:hint="eastAsia"/>
          <w:b w:val="0"/>
          <w:bCs w:val="0"/>
          <w:spacing w:val="-4"/>
          <w:sz w:val="32"/>
          <w:szCs w:val="32"/>
          <w:lang w:val="en-US" w:eastAsia="zh-CN"/>
        </w:rPr>
        <w:t xml:space="preserve">原则</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本次项目绩效评价遵循以下基本原则：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（1）确定评价指标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（2）确定权重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（3）确定指标标准值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绩效评价总分值100分，根据综合评分结果，90（含）-100分为优、80（含）-90分为良、60（含）-80分为中、60分以下为差。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具体评价指标体系详情见附件1</w:t>
      </w:r>
      <w:r>
        <w:rPr>
          <w:rStyle w:val="Strong"/>
          <w:rFonts w:ascii="楷体" w:eastAsia="楷体" w:hAnsi="楷体" w:hint="eastAsia"/>
          <w:b w:val="0"/>
          <w:bCs w:val="0"/>
          <w:spacing w:val="-4"/>
          <w:sz w:val="32"/>
          <w:szCs w:val="32"/>
          <w:lang w:eastAsia="zh-CN"/>
        </w:rPr>
        <w:t xml:space="preserve">。</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3.</w:t>
      </w:r>
      <w:r>
        <w:rPr>
          <w:rStyle w:val="Strong"/>
          <w:rFonts w:ascii="楷体" w:eastAsia="楷体" w:hAnsi="楷体" w:hint="eastAsia"/>
          <w:b w:val="0"/>
          <w:bCs w:val="0"/>
          <w:spacing w:val="-4"/>
          <w:sz w:val="32"/>
          <w:szCs w:val="32"/>
        </w:rPr>
        <w:t xml:space="preserve">绩效评价方法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绩效评价从项目决策、项目过程、项目产出、项目效益四个维度进行评价。评价对象为项目目标实施情况，评价核心为资金的支出完成情况和项目的产出效益。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本次评价指标中，既有定性指标又有定量指标，各类指标因考核内容不同和客观标准不同存在较大差异，因此核定具体指标时采用了不同方法，具体评价方法如下：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比较法：通过整理本项目相关资料和数据，评价数量指标的完成情况；通过分析项目的实施情况与绩效目标实现情况，评价项目实施的效果；通过分析项目资金使用情况及产生的效果，评价预算资金分配的合理性。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（二）公众评判法：评价组采用实地访谈、远程访谈相结</w:t>
      </w:r>
      <w:r>
        <w:rPr>
          <w:rStyle w:val="Strong"/>
          <w:rFonts w:ascii="楷体" w:eastAsia="楷体" w:hAnsi="楷体" w:hint="eastAsia"/>
          <w:b w:val="0"/>
          <w:bCs w:val="0"/>
          <w:spacing w:val="-4"/>
          <w:sz w:val="32"/>
          <w:szCs w:val="32"/>
          <w:lang w:eastAsia="zh-CN"/>
        </w:rPr>
        <w:t xml:space="preserve">合的</w:t>
      </w:r>
      <w:r>
        <w:rPr>
          <w:rStyle w:val="Strong"/>
          <w:rFonts w:ascii="楷体" w:eastAsia="楷体" w:hAnsi="楷体" w:hint="eastAsia"/>
          <w:b w:val="0"/>
          <w:bCs w:val="0"/>
          <w:spacing w:val="-4"/>
          <w:sz w:val="32"/>
          <w:szCs w:val="32"/>
        </w:rPr>
        <w:t xml:space="preserve">方式，对本项目的实施情况进行充分调研，了解掌握资金分配、资金管理、资金使用、制度建设、制度执行情况。采用问卷调查方式，对受益对象开展满意度调查，进行综合评价。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Style w:val="Strong"/>
          <w:rFonts w:ascii="楷体" w:eastAsia="楷体" w:hAnsi="楷体" w:hint="eastAsia"/>
          <w:spacing w:val="-4"/>
          <w:sz w:val="32"/>
          <w:szCs w:val="32"/>
          <w:lang w:val="en-US" w:eastAsia="zh-CN"/>
        </w:rPr>
      </w:pPr>
      <w:r>
        <w:rPr>
          <w:rStyle w:val="Strong"/>
          <w:rFonts w:ascii="楷体" w:eastAsia="楷体" w:hAnsi="楷体" w:hint="eastAsia"/>
          <w:spacing w:val="-4"/>
          <w:sz w:val="32"/>
          <w:szCs w:val="32"/>
          <w:lang w:val="en-US" w:eastAsia="zh-CN"/>
        </w:rPr>
        <w:t xml:space="preserve">（三）绩效评价工作过程</w:t>
      </w:r>
    </w:p>
    <w:p>
      <w:pPr>
        <w:keepNext w:val="0"/>
        <w:keepLines w:val="0"/>
        <w:pageBreakBefore w:val="0"/>
        <w:widowControl w:val="0"/>
        <w:kinsoku/>
        <w:wordWrap/>
        <w:overflowPunct/>
        <w:topLinePunct w:val="0"/>
        <w:autoSpaceDE/>
        <w:autoSpaceDN/>
        <w:bidi w:val="0"/>
        <w:adjustRightInd w:val="0"/>
        <w:snapToGrid w:val="0"/>
        <w:spacing w:line="560" w:lineRule="exact"/>
        <w:ind w:left="1280" w:hanging="1280" w:hangingChars="400"/>
        <w:jc w:val="left"/>
        <w:textAlignment w:val="auto"/>
        <w:rPr>
          <w:rStyle w:val="Strong"/>
          <w:rFonts w:ascii="楷体" w:eastAsia="楷体" w:hAnsi="楷体" w:hint="eastAsia"/>
          <w:b w:val="0"/>
          <w:bCs w:val="0"/>
          <w:spacing w:val="-4"/>
          <w:sz w:val="32"/>
          <w:szCs w:val="32"/>
          <w:lang w:val="en-US" w:eastAsia="zh-CN"/>
        </w:rPr>
      </w:pPr>
      <w:r>
        <w:rPr>
          <w:rStyle w:val="Strong"/>
          <w:rFonts w:ascii="楷体" w:eastAsia="楷体" w:hAnsi="楷体" w:hint="eastAsia"/>
          <w:b w:val="0"/>
          <w:bCs w:val="0"/>
          <w:spacing w:val="-4"/>
          <w:sz w:val="32"/>
          <w:szCs w:val="32"/>
          <w:lang w:val="en-US" w:eastAsia="zh-CN"/>
        </w:rPr>
        <w:t xml:space="preserve">（1）前期准备与规划</w:t>
      </w:r>
    </w:p>
    <w:p>
      <w:pPr>
        <w:ind w:firstLine="640" w:firstLineChars="200"/>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lang w:val="en-US" w:eastAsia="zh-CN"/>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b w:val="0"/>
          <w:bCs w:val="0"/>
          <w:spacing w:val="-4"/>
          <w:sz w:val="32"/>
          <w:szCs w:val="32"/>
          <w:lang w:val="en-US" w:eastAsia="zh-CN"/>
        </w:rPr>
        <w:br/>
      </w:r>
      <w:r>
        <w:rPr>
          <w:rStyle w:val="Strong"/>
          <w:rFonts w:ascii="楷体" w:eastAsia="楷体" w:hAnsi="楷体" w:hint="eastAsia"/>
          <w:b w:val="0"/>
          <w:bCs w:val="0"/>
          <w:spacing w:val="-4"/>
          <w:sz w:val="32"/>
          <w:szCs w:val="32"/>
          <w:lang w:val="en-US" w:eastAsia="zh-CN"/>
        </w:rPr>
        <w:t xml:space="preserve">（2）指标体系构建</w:t>
      </w:r>
      <w:r>
        <w:rPr>
          <w:rFonts w:ascii="楷体" w:eastAsia="楷体" w:hAnsi="楷体" w:hint="eastAsia"/>
          <w:b w:val="0"/>
          <w:bCs w:val="0"/>
          <w:spacing w:val="-4"/>
          <w:sz w:val="32"/>
          <w:szCs w:val="32"/>
          <w:lang w:val="en-US" w:eastAsia="zh-CN"/>
        </w:rPr>
        <w:br/>
      </w:r>
      <w:r>
        <w:rPr>
          <w:rStyle w:val="Strong"/>
          <w:rFonts w:ascii="楷体" w:eastAsia="楷体" w:hAnsi="楷体" w:hint="eastAsia"/>
          <w:b w:val="0"/>
          <w:bCs w:val="0"/>
          <w:spacing w:val="-4"/>
          <w:sz w:val="32"/>
          <w:szCs w:val="32"/>
          <w:lang w:val="en-US" w:eastAsia="zh-CN"/>
        </w:rPr>
        <w:t xml:space="preserve">    依据项目的性质、目标以及预期成果，构建了科学合理的绩效评价指标体系。该指标体系涵盖了项目决策、项目过程、项目产出、项目效益四个维度，选取了具有代表性和可衡量性的关键指标，</w:t>
      </w:r>
      <w:r>
        <w:rPr>
          <w:rStyle w:val="Strong"/>
          <w:rFonts w:ascii="楷体" w:eastAsia="楷体" w:hAnsi="楷体" w:hint="eastAsia"/>
          <w:b w:val="0"/>
          <w:bCs w:val="0"/>
          <w:spacing w:val="-4"/>
          <w:sz w:val="32"/>
          <w:szCs w:val="32"/>
        </w:rPr>
        <w:t xml:space="preserve">并为每个指标设定了明确的评价标准与权重，确保评价结果能够全面、准确地反映项目的绩效状况。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（3）数据收集与整理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（4）数据分析与评估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（5）报告撰写与反馈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（6）后续跟踪与改进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（一）评价情况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本项目的综合评价基于对项目各方面绩效的深入分析与评估。从项目目标的达成情况来看，裕民县县级粮油储备及成品粮油储备在数量指标完成方面表现出色，达到了预期的标准与要求。同时，项目也在经济成本指标完成方面取得了显著的成效，如按计划完成了项目资金支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在项目管理方面，裕民县发改委（裕民县粮食和物资储备局）通过有效的规划、组织与协调，项目得以顺利实施，并在预算与时间上保持了良好的控制。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从项目效益的角度来看，本项目不仅实现了预期的社会效益方面产生了积极的影响。具体而言，小麦原粮、面粉、成品油储备总量的完成，为项目的利益相关者带来了实实在在的利益。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综上所述，裕民县县级粮油储备及成品粮油储备在绩效评价中表现出色，达到了项目的预期目标，并在多个方面取得了显著的成效。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99.7分，属于“优”。其中，项目决策类指标权重为20分，得分为 20分，得分率为100%。项目过程类指标权重为20分，得分为19.90分，得分率为 99.50%。项目产出类指标权重为40分，得分为39.80分，得分率为 99.50%。项目效益类指标权重为20分，得分为20分，得分率为100%。</w:t>
      </w:r>
    </w:p>
    <w:p>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keepNext w:val="0"/>
        <w:keepLines w:val="0"/>
        <w:pageBreakBefore w:val="0"/>
        <w:widowControl w:val="0"/>
        <w:tabs>
          <w:tab w:val="center" w:pos="4295"/>
        </w:tabs>
        <w:kinsoku/>
        <w:wordWrap/>
        <w:overflowPunct/>
        <w:topLinePunct w:val="0"/>
        <w:autoSpaceDE/>
        <w:autoSpaceDN/>
        <w:bidi w:val="0"/>
        <w:adjustRightInd w:val="0"/>
        <w:snapToGrid w:val="0"/>
        <w:spacing w:line="560" w:lineRule="exact"/>
        <w:ind w:firstLine="640" w:firstLineChars="200"/>
        <w:jc w:val="left"/>
        <w:textAlignment w:val="auto"/>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是由裕民县发改委（粮食和物资储备局）提出申报，于2022年4月批复设立，2022年我单位根据《关于加强地方储备粮管理增强区域粮食安全保障能力的实施意见》（新粮粮[2020]104号）文件、塔城地区发改委转发《关于加强地方储备粮管理增强区域粮食安全保障能力的实施意见》（塔地发改粮食[2020]39号）文件要求组织每年度实施该项目。项目立项符合国家法律法规、自治区和地区行业发展规划和政策要求，属于本部门履职所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根据决策依据编制工作计划和经费预算，经过与县政府分管领导进行沟通、筛选确定经费预算计划，上党组会研究确定最终预算方案。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Strong"/>
          <w:rFonts w:ascii="楷体" w:eastAsia="楷体" w:hAnsi="楷体" w:hint="eastAsia"/>
          <w:b w:val="0"/>
          <w:bCs w:val="0"/>
          <w:spacing w:val="-4"/>
          <w:sz w:val="32"/>
          <w:szCs w:val="32"/>
          <w:lang w:eastAsia="zh-CN"/>
        </w:rPr>
        <w:tab/>
      </w:r>
    </w:p>
    <w:p>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项目过程类指标包括资金管理和组织实施两方面的内容，由5个三级指标构成，权重分值为20分，实际得分20分，得分率为100%。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本项目总投资109.43万元，财政资金及时足额到位，到位率100%，预算资金按计划进度执行。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预算编制较为详细，项目资金支出总体能够按照预算执行，预算资金支出107.06万元，预算执行率为97.83%。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任务下达后，我单位制定了《裕民县成品粮油储备管理制度》对经费使用进行规范管理，财务制度健全、执行严格。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综上所述，本项目的管理制度在执行过程中表现出了高度的有效性，既确保了项目的顺利进行，又实现了项目目标的有效达成。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项目产出类指标包括产出数量、产出质量、产出时效、产出成本四方面的内容，由11个三级指标构成，权重分为40分，实际得分39.78分，得分率为99.45%。具体产出指标完成情况如下：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指标1：小麦原粮储备数量，指标值：=3396吨，实际完成值：3396吨，指标完成率100%。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指标2：成品粮面粉储备数量，指标值：=271吨，实际完成值：271吨，指标完成率100%。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指标3：食用油储备数量，指标值：=36吨，实际完成值：36吨，指标完成率100%。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指标4：成品粮轮换次数，指标值：=4次，实际完成值：4次，指标完成率100%。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指标5：成品油轮换次数，指标值：=2次，实际完成值：2次，指标完成率100%。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指标1：储备原粮及成品粮油质量合格率，指标值：=100%，实际完成值：100%，指标完成率100%。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指标1：储备完成时限，指标值：2024年12月前，实际完成值：2024年12月前，指标完成率100%。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指标2：资金支付及时率，指标值：=100%，实际完成值：100%，指标完成率100%。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指标1：原粮及成品粮油保管费用，指标值：&lt;=40.22万元，实际完成值：40.22万元，指标完成率100%。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指标2：成品粮油轮换费，指标值：&lt;=24.68万元，实际完成值：24.68万元，指标完成率100%。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3：原粮及成品粮油保管费用，指标值：&lt;=44.52万元，实际完成值：42.16万元，指标完成率94.70%，偏差率5.30%，偏差原因为：由于利率变化，导致资金实际支付金额小于目标金额；改进措施：与项目负责人沟通交流，精准制定项目绩效目标。</w:t>
      </w:r>
    </w:p>
    <w:p>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项目效益类指标包括项目实施效益和满意度两方面的内容，由2个三级指标构成，权重分为20分，实际得分20分，得分率为100%。具体效益指标完成情况如下：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1.实施效益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指标1：保障本县原粮及成品粮油储备，指标值：有效保障，实际完成值：有效保障，指标完成率100%。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指标2：提升应对自然灾害或突发事件能力，指标值：有效提升，实际完成值：有效提升，指标完成率100%。</w:t>
      </w:r>
    </w:p>
    <w:p>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 裕民县县级粮油储备及成品粮油储备项目年初预算109.43万元，全年预算109.43万元，实际支出107.06万元，预算执行率为97.83%，项目绩效指标总体完成率为99.59%，总体偏差率为1.76%，偏差</w:t>
      </w:r>
      <w:r>
        <w:rPr>
          <w:rStyle w:val="Strong"/>
          <w:rFonts w:ascii="楷体" w:eastAsia="楷体" w:hAnsi="楷体" w:hint="eastAsia"/>
          <w:b w:val="0"/>
          <w:bCs w:val="0"/>
          <w:spacing w:val="-4"/>
          <w:sz w:val="32"/>
          <w:szCs w:val="32"/>
          <w:lang w:eastAsia="zh-CN"/>
        </w:rPr>
        <w:t xml:space="preserve">原因在于</w:t>
      </w:r>
      <w:r>
        <w:rPr>
          <w:rStyle w:val="Strong"/>
          <w:rFonts w:ascii="楷体" w:eastAsia="楷体" w:hAnsi="楷体" w:hint="eastAsia"/>
          <w:b w:val="0"/>
          <w:bCs w:val="0"/>
          <w:spacing w:val="-4"/>
          <w:sz w:val="32"/>
          <w:szCs w:val="32"/>
        </w:rPr>
        <w:t xml:space="preserve">利率变化，导致年初贷款贴息预算费用大于实际支出费用，改进措施与项目负责人经常沟通交流，精准制定项目绩效目标。</w:t>
      </w:r>
    </w:p>
    <w:p>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1.强化责任落实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县发改委（粮食和物资储备局）与承储企业签订了裕民县成品粮油承储合同，明确责任分工，确保县级成品粮油数量真实、质量良好、保管安全。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2.建立监管机制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县发改委（粮食和物资储备局）研究制定了《裕民县成品粮油储备管理办法》，要求承储企业严格按要求做好轮换、保管等工作，建立出入库台账，加强资金使用管理，提高了资金使用效益。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1.定期巡查工作有待加强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粮食行政管理部门缺乏专业人员，未定期开展政策性粮食库存检查工作，未</w:t>
      </w:r>
      <w:r>
        <w:rPr>
          <w:rStyle w:val="Strong"/>
          <w:rFonts w:ascii="楷体" w:eastAsia="楷体" w:hAnsi="楷体" w:hint="eastAsia"/>
          <w:b w:val="0"/>
          <w:bCs w:val="0"/>
          <w:spacing w:val="-4"/>
          <w:sz w:val="32"/>
          <w:szCs w:val="32"/>
          <w:lang w:eastAsia="zh-CN"/>
        </w:rPr>
        <w:t xml:space="preserve">充分</w:t>
      </w:r>
      <w:r>
        <w:rPr>
          <w:rStyle w:val="Strong"/>
          <w:rFonts w:ascii="楷体" w:eastAsia="楷体" w:hAnsi="楷体" w:hint="eastAsia"/>
          <w:b w:val="0"/>
          <w:bCs w:val="0"/>
          <w:spacing w:val="-4"/>
          <w:sz w:val="32"/>
          <w:szCs w:val="32"/>
        </w:rPr>
        <w:t xml:space="preserve">发挥项目绩效领导小组作用。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2.承储企业轮换压力大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由国有粮食收储企业将成品粮油储备任务委托给粮油加工企业，签订储备合同，指导企业严格按照要求开展储备工作。</w:t>
      </w:r>
    </w:p>
    <w:p>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1.加强组织领导</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充分发挥项目绩效领导小组的作用，对绩效评价工作进行指导、监督、检查，确保项目绩效评价反映项目完成真实情况。严格执行项目绩效评价工作要求，切实提高项目绩效报告的客观性和公正性。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2.加强培训教育</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采取多种培训形式对单位财务人员、业务科室人员进行集中培训，进一步树牢绩效观念，提高本单位工作人员的绩效管理能力和工作水平，为预算绩效管理相关工作的顺利开展提供保障。</w:t>
      </w:r>
    </w:p>
    <w:p>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lang w:eastAsia="zh-CN"/>
        </w:rPr>
        <w:t xml:space="preserve">无</w:t>
      </w: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Style w:val="Strong"/>
          <w:rFonts w:ascii="仿宋" w:eastAsia="仿宋" w:hAnsi="仿宋"/>
          <w:b w:val="0"/>
          <w:spacing w:val="-4"/>
          <w:sz w:val="32"/>
          <w:szCs w:val="32"/>
        </w:rPr>
      </w:pPr>
    </w:p>
    <w:p>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embedSystemFonts/>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Arial" w:cstheme="minorBidi"/>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semiHidden/>
    <w:qFormat/>
    <w:rPr/>
  </w:style>
  <w:style w:type="table" w:default="1" w:styleId="NormalTable">
    <w:name w:val="Normal Table"/>
    <w:semiHidden/>
    <w:qFormat/>
    <w:rPr/>
    <w:tblPr>
      <w:tblCellMar>
        <w:top w:w="0" w:type="dxa"/>
        <w:left w:w="108" w:type="dxa"/>
        <w:bottom w:w="0" w:type="dxa"/>
        <w:right w:w="108" w:type="dxa"/>
      </w:tblCellMar>
    </w:tblPr>
  </w:style>
  <w:style w:type="paragraph" w:styleId="Footer">
    <w:name w:val="Footer"/>
    <w:basedOn w:val="Normal"/>
    <w:uiPriority w:val="99"/>
    <w:unhideWhenUsed/>
    <w:qFormat/>
    <w:pPr>
      <w:tabs>
        <w:tab w:val="center" w:pos="4153"/>
        <w:tab w:val="right" w:pos="8306"/>
      </w:tabs>
      <w:snapToGrid w:val="0"/>
      <w:jc w:val="left"/>
    </w:pPr>
    <w:rPr>
      <w:rFonts w:ascii="Calibri" w:hAnsi="Calibri"/>
      <w:sz w:val="18"/>
      <w:szCs w:val="18"/>
    </w:rPr>
  </w:style>
  <w:style w:type="character" w:styleId="Strong">
    <w:name w:val="Strong"/>
    <w:basedOn w:val="DefaultParagraphFont"/>
    <w:qFormat/>
    <w:rPr>
      <w:b/>
      <w:bCs/>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F3E1252CC5CF44CE83D87337B190C73F_13</vt:lpwstr>
  </property>
  <property fmtid="{D5CDD505-2E9C-101B-9397-08002B2CF9AE}" pid="4" name="KSOTemplateDocerSaveRecord">
    <vt:lpwstr>eyJoZGlkIjoiM2VmNzg3M2Q3YTU3NzI0ZDY4NTE1ZWVmZDNhMGRlZDgiLCJ1c2VySWQiOiIzMjE5ODY3NTMifQ==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6</TotalTime>
  <Pages>20</Pages>
  <Words>9381</Words>
  <Characters>9851</Characters>
  <Application>WPS Office_12.1.0.21915_F1E327BC-269C-435d-A152-05C5408002CA</Application>
  <DocSecurity>0</DocSecurity>
  <Lines>0</Lines>
  <Paragraphs>0</Paragraphs>
  <CharactersWithSpaces>10106</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-大梦</dc:creator>
  <cp:lastModifiedBy>-大梦</cp:lastModifiedBy>
  <cp:revision>1</cp:revision>
  <dcterms:created xsi:type="dcterms:W3CDTF">2025-08-19T02:28:00Z</dcterms:created>
  <dcterms:modified xsi:type="dcterms:W3CDTF">2025-08-19T04:23:12Z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2052-12.1.0.21915</vt:lpwstr>
  </property>
  <property fmtid="{D5CDD505-2E9C-101B-9397-08002B2CF9AE}" pid="3" name="ICV">
    <vt:lpwstr>F3E1252CC5CF44CE83D87337B190C73F_13</vt:lpwstr>
  </property>
  <property fmtid="{D5CDD505-2E9C-101B-9397-08002B2CF9AE}" pid="4" name="KSOTemplateDocerSaveRecord">
    <vt:lpwstr>eyJoZGlkIjoiM2VmNzg3M2Q3YTU3NzI0ZDY4NTE1ZWVmZDNhMGRlZDgiLCJ1c2VySWQiOiIzMjE5ODY3NTMifQ_x003D__x003D_</vt:lpwstr>
  </property>
</Properties>
</file>