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2024年自治区财政全民参保及医疗服务经费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32"/>
          <w:szCs w:val="32"/>
        </w:rPr>
        <w:t xml:space="preserve">裕民县医疗保障局</w:t>
      </w:r>
    </w:p>
    <w:p>
      <w:pPr>
        <w:spacing w:line="540" w:lineRule="exact"/>
        <w:ind w:firstLine="900" w:firstLineChars="250"/>
        <w:rPr>
          <w:rStyle w:val="Strong"/>
          <w:rFonts w:ascii="楷体" w:eastAsia="楷体" w:hAnsi="楷体" w:hint="eastAsia"/>
          <w:spacing w:val="-4"/>
          <w:sz w:val="32"/>
          <w:szCs w:val="32"/>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32"/>
          <w:szCs w:val="32"/>
        </w:rPr>
        <w:t xml:space="preserve">裕民县医疗保障局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吴晗</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2025年03月14日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960" w:firstLineChars="3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960" w:firstLineChars="3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left="319" w:firstLine="544" w:leftChars="152" w:firstLineChars="17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1.项目背景</w:t>
      </w:r>
    </w:p>
    <w:p>
      <w:pPr>
        <w:spacing w:line="540" w:lineRule="exact"/>
        <w:ind w:left="319" w:firstLine="544" w:leftChars="152" w:firstLineChars="170"/>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根据塔地财社[2023]111号文件设立了2024年自治区财政全民参保及医疗服务经费项目补助资金。此项目按照自治区全民参保计划部署要求，逐步提高统筹地区医疗保险参保率。</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2.项目主要内容：</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项目主要内容：1、使本地基本医疗保险参保率达到95%以上。2、使国家社保惠民的知晓率达到95%以上，群众的参保自觉性进一步提高，对于实现全民参保巨大的现实意义。</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实施情况：2024年自治区财政全民参保及医疗服务经费项目持续做好全民参保登记工作完成了基本医疗95%的保险参保率，建立了数据动态更新机制，达到了继续巩固企业职工基本医疗保险全覆盖水平，完善覆盖所辖企业的社会保障体系，加快推进全民参保，确保全民参保政策家喻户晓，参保率达到95%以上。</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3.资金投入和使用情况</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（1）资金投入情况</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该项目年初预算数3万元，全年预算数3万元，该项目资金已全部落实到位，资金来源为财政拨款。</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（2）资金使用情况</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该项目年初预算数3万元，全年预算数3万元，全年执行数3万元，预算执行率为100%，主要用于：2024年开展医疗保险全民参保及医疗服务工作。订制医保政策宣传单，加大全民参保宣传力度，项目实施有效提高医疗保险参保率达到95%以上。基本医疗保险和生育保险人数分别达到4万人、0.5万人以上的参保目标。</w:t>
      </w:r>
    </w:p>
    <w:p>
      <w:pPr>
        <w:spacing w:line="540" w:lineRule="exact"/>
        <w:ind w:firstLine="960" w:firstLineChars="3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960" w:firstLineChars="3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p>
    <w:p>
      <w:pPr>
        <w:spacing w:line="540" w:lineRule="exact"/>
        <w:ind w:firstLine="960" w:firstLineChars="3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一是提高</w:t>
      </w:r>
      <w:r>
        <w:rPr>
          <w:rStyle w:val="Strong"/>
          <w:rFonts w:ascii="楷体" w:eastAsia="楷体" w:hAnsi="楷体" w:hint="eastAsia"/>
          <w:b w:val="0"/>
          <w:bCs w:val="0"/>
          <w:spacing w:val="-4"/>
          <w:sz w:val="32"/>
          <w:szCs w:val="32"/>
        </w:rPr>
        <w:t xml:space="preserve">城乡居民基本医疗保险</w:t>
      </w:r>
      <w:r>
        <w:rPr>
          <w:rStyle w:val="Strong"/>
          <w:rFonts w:ascii="楷体" w:eastAsia="楷体" w:hAnsi="楷体" w:hint="eastAsia"/>
          <w:b w:val="0"/>
          <w:bCs w:val="0"/>
          <w:spacing w:val="-4"/>
          <w:sz w:val="32"/>
          <w:szCs w:val="32"/>
        </w:rPr>
        <w:t xml:space="preserve">全覆盖水平，完善城乡居</w:t>
      </w:r>
    </w:p>
    <w:p>
      <w:pPr>
        <w:spacing w:line="540" w:lineRule="exact"/>
        <w:ind w:left="639" w:hanging="320" w:leftChars="152" w:hangingChars="1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民医疗保险缴费激励机制。 </w:t>
      </w:r>
    </w:p>
    <w:p>
      <w:pPr>
        <w:spacing w:line="540" w:lineRule="exact"/>
        <w:ind w:left="319" w:firstLine="640" w:leftChars="152"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二是广泛宣传医疗保险惠民政策知晓率95%，扩大医疗保险覆盖面完成参保率95%，确保“老有所养、病有所医”，提高人民群众的幸福感和获得感，参保群众满意度95%。定点医药机构现场检查次数不少于4次，医保政策宣传不少于2次。</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三是通过构建覆盖城乡居民医疗补助项目，参与城镇居民医疗补助项目人员能够按方案获得医疗服务，减轻家庭医疗支出压力，促进社会和谐稳定。</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2.阶段性目标</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2024年1月至12月按照2024年自治区财政全民参保及医疗服务经费项目实施计划，持续做好全民参保登记工作，完成了基本医疗保险参保率达到95%的目标任务。继续巩固企业职工基本医疗保险全覆盖水平，加快推进全民社保，要进一步加大宣传力度，确保全民参保登记政策家喻户晓，实现了参保率达到95%以上。</w:t>
      </w:r>
    </w:p>
    <w:p>
      <w:pPr>
        <w:spacing w:line="540" w:lineRule="exact"/>
        <w:ind w:firstLine="960" w:firstLineChars="3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960" w:firstLineChars="3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left="319" w:firstLine="640" w:leftChars="152"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1.绩效评价完整性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cr/>
      </w:r>
    </w:p>
    <w:p>
      <w:pPr>
        <w:spacing w:line="540" w:lineRule="exact"/>
        <w:ind w:left="319" w:firstLine="640" w:leftChars="152"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2.绩效评价的目的</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（1）评估项目实施效果</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通过对项目预算执行情况及各项绩效目标达成程度的系统性分析，全面、客观地评估项目在预定周期内的实施效果，包括社会效益等多维度指标，为项目后续的改进与优化提供科学依据。</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（2）提升资源利用效率</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（3）强化项目管理责任</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（4）为决策提供支持</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（5）促进项目持续改进</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3.绩效评价的对象</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预算绩效评价报告的评价对象是2024年自治区财政全民参保及医疗服务经费项目及其预算执行情况。该项目由裕民县医疗保障局负责实施，旨在通过项目实施有效提高医疗保险参保率，使国家社保惠民的知晓率达到95%以上，群众的参保自觉性进一步提高，对于实现全民参保巨大的现实意义。项目预算涵盖从2024年1月1日至2024年12月31日的全部资金投入与支出，涉及资金总额为3万元。</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4.绩效评价的范围</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（1）项目预算编制与执行：全面审视项目预算的编制依据、合理性、科学性以及实际执行情况，包括预算调整的原因和效果。</w:t>
      </w:r>
    </w:p>
    <w:p>
      <w:pPr>
        <w:spacing w:line="540" w:lineRule="exact"/>
        <w:ind w:left="319" w:firstLine="640" w:leftChars="152" w:firstLineChars="200"/>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（2）资金管理：深入分析项目资金的分配、使用和监管情况，确保资金使用的合规性、高效性和透明度。</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（3）项目实施进度与产出：评估项目是否按照既定计划顺利推进，各项任务是否按时完成，以及项目产出的数量、质量和时效性是否符合预期。</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社会、生态等影响：考察项目对社会、生态、经济等方面的综合影响。</w:t>
      </w:r>
    </w:p>
    <w:p>
      <w:pPr>
        <w:spacing w:line="540" w:lineRule="exact"/>
        <w:ind w:left="319" w:firstLine="640" w:leftChars="152"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960" w:firstLineChars="3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1.绩效评价原则</w:t>
      </w:r>
    </w:p>
    <w:p>
      <w:pPr>
        <w:spacing w:line="540" w:lineRule="exact"/>
        <w:ind w:firstLine="960" w:firstLineChars="3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本次项目绩效评价遵循以下基本原则：</w:t>
      </w:r>
    </w:p>
    <w:p>
      <w:pPr>
        <w:numPr>
          <w:ilvl w:val="0"/>
          <w:numId w:val="0"/>
        </w:numPr>
        <w:spacing w:line="540" w:lineRule="exact"/>
        <w:ind w:left="319" w:firstLine="640" w:leftChars="152" w:firstLineChars="200"/>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lang w:val="en-US" w:eastAsia="zh-CN"/>
        </w:rPr>
        <w:t xml:space="preserve">1</w:t>
      </w:r>
      <w:r>
        <w:rPr>
          <w:rStyle w:val="Strong"/>
          <w:rFonts w:ascii="楷体" w:eastAsia="楷体" w:hAnsi="楷体" w:hint="eastAsia"/>
          <w:b w:val="0"/>
          <w:bCs w:val="0"/>
          <w:spacing w:val="-4"/>
          <w:sz w:val="32"/>
          <w:szCs w:val="32"/>
        </w:rPr>
        <w:t xml:space="preserve">）科学公正。绩效评价应当运用科学合理的方法，按照规范的程序，对项目绩效进行客观、公正的反映。</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（4）公开透明。绩效评价结果应依法依规公开，并自觉接受社会监督。</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2.评价指标体系</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绩效评价框架是开展绩效评价的核心。绩效评价框架包括评价准则、关键评价问题、评价指标、数据来源、数据收集方法等。指标体系建立过程如下：</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（1）确定评价指标</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（2）确定权重</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确定各个指标相对于项目总体绩效的权重分值。在绩效评价指标体系中，项目决策权重为20分，项目过程权重为20分，项目产出权重为40分，项目效益权重为20分。</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（3）确定指标标准值</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指标标准值是绩效评价指标的尺度，既要反映同类项目的先进水平，又要符合项目的实际绩效水平。具体采用计划标准等确定此次绩效评价指标标准值。</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绩效评价总分值100分，根据综合评分结果，90（含）-100分为优、80（含）-90分为良、60（含）-80分为中、60分以下为差。</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具体评价指标体系详情见附件1</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3.绩效评价方法</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绩效评价从项目决策、项目过程、项目产出、项目效益四个维度进行评价。评价对象为项目目标实施情况，评价核心为资金的支出完成情况和项目的产出效益。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本次评价指标中，既有定性指标又有定量指标，各类指标因考核内容不同和客观标准不同存在较大差异，因此核定具体指标时采用了不同方法，具体评价方法如下：</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（一）成本效益分析法。是指将投入与产出、效益进行关联性分析的方法。 </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（二）比较法。是指将实施情况与绩效目标、历史情况、不同部门和地区同类支出情况进行比较的方法。</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（三）因素分析法。是指综合分析影响绩效目标实现、实施效果的内外部因素的方法。</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4.评价标准</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绩效评价标准通常包括计划标准、行业标准、历史标准等，用于对绩效指标完成情况进行比较、分析、评价。本次评价主要采用了计划标准、行业标准、历史标准。</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（1）计划标准。指以预先制定的目标、计划、预算、定额等作为评价标准。</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（2）行业标准。指参照国家公布的行业指标数据制定的评价标准。</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（3）历史标准。指参照历史数据制定的评价标准，为体现绩效改进的原则，在可实现的条件下应当确定相对较高的评价标准。</w:t>
      </w:r>
    </w:p>
    <w:p>
      <w:pPr>
        <w:spacing w:line="540" w:lineRule="exact"/>
        <w:ind w:firstLine="960" w:firstLineChars="300"/>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left="958" w:firstLine="0" w:leftChars="456" w:firstLineChars="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（1）前期准备与规划</w:t>
      </w:r>
    </w:p>
    <w:p>
      <w:pPr>
        <w:spacing w:line="540" w:lineRule="exact"/>
        <w:ind w:left="319" w:firstLine="640" w:leftChars="152"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在项目绩效评价工作启动之初，成立了专门的评价工作小组，小组成员由财务主管、项目管理人员及业务骨干组成，确保从多角度、全方位对项目绩效进行评价。同时，明确了评价工作的目标、范围、重点及时间安排，制定了详细的工作计划，为评价工作的顺利开展奠定了坚实基础。</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（2）指标体系构建</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（3）数据收集与整理</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（4）数据分析与评估</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（5）报告撰写与反馈</w:t>
      </w:r>
    </w:p>
    <w:p>
      <w:pPr>
        <w:spacing w:line="540" w:lineRule="exact"/>
        <w:ind w:left="319" w:firstLine="640" w:leftChars="152" w:firstLineChars="200"/>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（6）后续跟踪与改进</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960" w:firstLineChars="3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960" w:firstLineChars="3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（一）评价情况</w:t>
      </w:r>
    </w:p>
    <w:p>
      <w:pPr>
        <w:spacing w:line="540" w:lineRule="exact"/>
        <w:ind w:left="319" w:firstLine="640" w:leftChars="152"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的综合评价基于对项目各方面绩效的深入分析与评估。从项目目标的达成情况来看，2024年自治区财政全民参保及医疗服务经费项目在基本医疗保险参保人数、基本医疗保险参保率等方面表现出色，达到了预期的标准与要求。同时，项目也在医疗政策知晓率取得了显著的成效，如基本医疗保险参保率达到95%、国家社保惠民的知晓率达到95%以上等。</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在项目管理方面，裕民县医疗保障局通过有效的规划、组织与协调，项目得以顺利实施，并在预算与时间上保持了良好的控制。</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从项目效益的角度来看，本项目实现了社会效益方面产生的积极影响。具体而言，在国家社保惠民的知晓率方面也有所提升，为项目的相关者带来了实实在在的利益。</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综上所述，2024年自治区财政全民参保及医疗服务经费项目在绩效评价中表现出色，达到了项目的预期目标，并在多个方面取得了显著的成效。</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（二）评价结论</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 20分，得分率为 100%。项目过程类指标权重为20分，得分为20分，得分率为 100%。项目产出类指标权重为40分，得分为40分，得分率为100%。项目效益类指标权重为20分，得分为20分，得分率为100%。具体打分情况详见：附件1综合评分表。</w:t>
      </w:r>
    </w:p>
    <w:p>
      <w:pPr>
        <w:spacing w:line="540" w:lineRule="exact"/>
        <w:ind w:left="638" w:firstLine="320" w:leftChars="304" w:firstLineChars="1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表1综合评分表</w:t>
      </w:r>
    </w:p>
    <w:p>
      <w:pPr>
        <w:keepNext w:val="0"/>
        <w:keepLines w:val="0"/>
        <w:pageBreakBefore w:val="0"/>
        <w:widowControl w:val="0"/>
        <w:kinsoku/>
        <w:wordWrap/>
        <w:overflowPunct/>
        <w:topLinePunct w:val="0"/>
        <w:autoSpaceDE/>
        <w:autoSpaceDN/>
        <w:bidi w:val="0"/>
        <w:adjustRightInd/>
        <w:snapToGrid/>
        <w:spacing w:line="540" w:lineRule="exact"/>
        <w:ind w:left="0" w:firstLine="1600" w:leftChars="0" w:firstLineChars="500"/>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一级指标</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权重分</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得分</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得分率</w:t>
      </w:r>
    </w:p>
    <w:p>
      <w:pPr>
        <w:keepNext w:val="0"/>
        <w:keepLines w:val="0"/>
        <w:pageBreakBefore w:val="0"/>
        <w:widowControl w:val="0"/>
        <w:kinsoku/>
        <w:wordWrap/>
        <w:overflowPunct/>
        <w:topLinePunct w:val="0"/>
        <w:autoSpaceDE/>
        <w:autoSpaceDN/>
        <w:bidi w:val="0"/>
        <w:adjustRightInd/>
        <w:snapToGrid/>
        <w:spacing w:line="540" w:lineRule="exact"/>
        <w:ind w:left="0" w:firstLine="1600" w:leftChars="0" w:firstLineChars="500"/>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项目决策</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p>
    <w:p>
      <w:pPr>
        <w:keepNext w:val="0"/>
        <w:keepLines w:val="0"/>
        <w:pageBreakBefore w:val="0"/>
        <w:widowControl w:val="0"/>
        <w:kinsoku/>
        <w:wordWrap/>
        <w:overflowPunct/>
        <w:topLinePunct w:val="0"/>
        <w:autoSpaceDE/>
        <w:autoSpaceDN/>
        <w:bidi w:val="0"/>
        <w:adjustRightInd/>
        <w:snapToGrid/>
        <w:spacing w:line="540" w:lineRule="exact"/>
        <w:ind w:left="0" w:firstLine="1600" w:leftChars="0" w:firstLineChars="500"/>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100%</w:t>
      </w:r>
    </w:p>
    <w:p>
      <w:pPr>
        <w:keepNext w:val="0"/>
        <w:keepLines w:val="0"/>
        <w:pageBreakBefore w:val="0"/>
        <w:widowControl w:val="0"/>
        <w:kinsoku/>
        <w:wordWrap/>
        <w:overflowPunct/>
        <w:topLinePunct w:val="0"/>
        <w:autoSpaceDE/>
        <w:autoSpaceDN/>
        <w:bidi w:val="0"/>
        <w:adjustRightInd/>
        <w:snapToGrid/>
        <w:spacing w:line="540" w:lineRule="exact"/>
        <w:ind w:left="0" w:firstLine="1600" w:leftChars="0" w:firstLineChars="500"/>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项目产出</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40</w:t>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lang w:val="en-US" w:eastAsia="zh-CN"/>
        </w:rPr>
        <w:t xml:space="preserve">   </w:t>
      </w:r>
      <w:bookmarkStart w:id="0" w:name="_GoBack"/>
      <w:bookmarkEnd w:id="0"/>
      <w:r>
        <w:rPr>
          <w:rStyle w:val="Strong"/>
          <w:rFonts w:ascii="楷体" w:eastAsia="楷体" w:hAnsi="楷体" w:hint="eastAsia"/>
          <w:b w:val="0"/>
          <w:bCs w:val="0"/>
          <w:spacing w:val="-4"/>
          <w:sz w:val="32"/>
          <w:szCs w:val="32"/>
        </w:rPr>
        <w:t xml:space="preserve">100%</w:t>
      </w:r>
    </w:p>
    <w:p>
      <w:pPr>
        <w:keepNext w:val="0"/>
        <w:keepLines w:val="0"/>
        <w:pageBreakBefore w:val="0"/>
        <w:widowControl w:val="0"/>
        <w:kinsoku/>
        <w:wordWrap/>
        <w:overflowPunct/>
        <w:topLinePunct w:val="0"/>
        <w:autoSpaceDE/>
        <w:autoSpaceDN/>
        <w:bidi w:val="0"/>
        <w:adjustRightInd/>
        <w:snapToGrid/>
        <w:spacing w:line="540" w:lineRule="exact"/>
        <w:ind w:left="0" w:firstLine="1600" w:leftChars="0" w:firstLineChars="500"/>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p>
    <w:p>
      <w:pPr>
        <w:keepNext w:val="0"/>
        <w:keepLines w:val="0"/>
        <w:pageBreakBefore w:val="0"/>
        <w:widowControl w:val="0"/>
        <w:kinsoku/>
        <w:wordWrap/>
        <w:overflowPunct/>
        <w:topLinePunct w:val="0"/>
        <w:autoSpaceDE/>
        <w:autoSpaceDN/>
        <w:bidi w:val="0"/>
        <w:adjustRightInd/>
        <w:snapToGrid/>
        <w:spacing w:line="540" w:lineRule="exact"/>
        <w:ind w:left="0" w:firstLine="1600" w:leftChars="0" w:firstLineChars="500"/>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合计</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100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100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p>
    <w:p>
      <w:pPr>
        <w:spacing w:line="540" w:lineRule="exact"/>
        <w:ind w:firstLine="960" w:firstLineChars="30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960" w:firstLineChars="300"/>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left="319" w:firstLine="640" w:leftChars="152"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项目决策类指标包括项目立项、绩效目标和资金投入三方面的内容，由6个三级指标构成，权重分值为20分，实际得分20分，得分率为100%。</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1.项目立项</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（1）立项依据充分性</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（2）立项程序规范性</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风险评估、绩效评估，保障了程序的规范性。</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2.绩效目标</w:t>
      </w:r>
    </w:p>
    <w:p>
      <w:pPr>
        <w:tabs>
          <w:tab w:val="center" w:pos="4295"/>
        </w:tabs>
        <w:spacing w:line="540" w:lineRule="exact"/>
        <w:ind w:left="319" w:firstLine="640" w:leftChars="152"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（1）绩效目标合理性</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tabs>
          <w:tab w:val="center" w:pos="4295"/>
        </w:tabs>
        <w:spacing w:line="540" w:lineRule="exact"/>
        <w:ind w:left="638" w:firstLine="320" w:leftChars="304" w:firstLineChars="1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（2）绩效指标明确性</w:t>
      </w:r>
    </w:p>
    <w:p>
      <w:pPr>
        <w:tabs>
          <w:tab w:val="center" w:pos="4295"/>
        </w:tabs>
        <w:spacing w:line="540" w:lineRule="exact"/>
        <w:ind w:left="319" w:firstLine="640" w:leftChars="152"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项目设置了明确的预期产出效益和效果，将绩效目标细化分解为具体的绩效指标，绩效目标与项目目标任务数相对应，绩效目标设定的绩效指标清晰、细化、可衡量。</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3.资金投入</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（1）预算编制科学性</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（2）资金分配合理性</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tabs>
          <w:tab w:val="center" w:pos="4295"/>
        </w:tabs>
        <w:spacing w:line="540" w:lineRule="exact"/>
        <w:ind w:left="319" w:firstLine="640" w:leftChars="152" w:firstLineChars="200"/>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Strong"/>
          <w:rFonts w:ascii="楷体" w:eastAsia="楷体" w:hAnsi="楷体" w:hint="eastAsia"/>
          <w:b w:val="0"/>
          <w:bCs w:val="0"/>
          <w:spacing w:val="-4"/>
          <w:sz w:val="32"/>
          <w:szCs w:val="32"/>
          <w:lang w:eastAsia="zh-CN"/>
        </w:rPr>
        <w:tab/>
      </w:r>
    </w:p>
    <w:p>
      <w:pPr>
        <w:spacing w:line="540" w:lineRule="exact"/>
        <w:ind w:firstLine="960" w:firstLineChars="300"/>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left="319" w:firstLine="640" w:leftChars="152"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项目过程类指标包括资金管理和组织实施两方面的内容，由5个三级指标构成，权重分值为20分，实际得分20分，得分率为100%。</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1.资金管理</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（1）资金到位率</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本项目总投资3万元，财政资金及时足额到位，到位率100%，预算资金按计划进度执行。</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（2）预算执行率</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预算编制较为详细，项目资金支出总体能够按照预算执行，预算资金支出3万元，预算执行率为100%。</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（3）资金使用合规性</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numPr>
          <w:ilvl w:val="0"/>
          <w:numId w:val="4"/>
        </w:numPr>
        <w:spacing w:line="540" w:lineRule="exact"/>
        <w:ind w:left="319" w:firstLine="640" w:leftChars="152"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组织实施</w:t>
      </w:r>
    </w:p>
    <w:p>
      <w:pPr>
        <w:numPr>
          <w:ilvl w:val="0"/>
          <w:numId w:val="3"/>
        </w:numPr>
        <w:spacing w:line="540" w:lineRule="exact"/>
        <w:ind w:left="739" w:leftChars="352"/>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管理制度健全性</w:t>
      </w:r>
    </w:p>
    <w:p>
      <w:pPr>
        <w:numPr>
          <w:ilvl w:val="0"/>
          <w:numId w:val="0"/>
        </w:numPr>
        <w:spacing w:line="540" w:lineRule="exact"/>
        <w:ind w:left="319" w:firstLine="640" w:leftChars="152"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在制度设计上，我们注重了制度的科学性与可操作性，确保制度能够切实指导项目的执行与管理。</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（2）制度执行有效性</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numPr>
          <w:ilvl w:val="0"/>
          <w:numId w:val="0"/>
        </w:numPr>
        <w:spacing w:line="540" w:lineRule="exact"/>
        <w:ind w:left="319" w:firstLine="640" w:leftChars="152"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960" w:firstLineChars="300"/>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left="319" w:firstLine="640" w:leftChars="152" w:firstLineChars="200"/>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项目产出类指标包括产出数量、产出质量、产出时效、产出成本四方面的内容，由6个三级指标构成，权重分为40分，实际得分40分，得分率为100%。具体产出指标完成情况如下：</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①数量指标：</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指标1：生育保险参保人数 ，指标值：&gt;=0.5万人，实际完成值：0.61万人，指标完成率122%，偏差原因：年初制定指标时过于保守，数额确定的较低；改进措施：在今后的工作中要敢于创新不断提高目标任务，再创佳绩。</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指标2：基本医疗保险参保人数，指标值：4万人 ，实际完成值：4.61万人，指标完成率115.25%，偏差原因：年初制定指标时过于保守，数额确定的较低；改进措施：在今后的工作中要敢于创新不断提高目标任务，再创佳绩。</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②质量指标：</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指标：基本医疗保险参保率，指标值：&gt;=95%，实际完成值：96%，指标完成率101%，偏差较小与目标值保持一致。</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③时效指标：</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指标：按时报送各项社会保险基金季报数据及分析，指标值：每季度结束后的15日内，实际完成值：每季度结束后的15日内，指标完成率100%。</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④成本指标：</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指标1：全民参保业务经办服务支出，指标值：&gt;=2万元，实际完成值：2万元，指标完成率100%。</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指标2：全民参保宣传及能力提升支出，指标值：&gt;=1万元，实际完成值：1万元，指标完成率100%。</w:t>
      </w:r>
    </w:p>
    <w:p>
      <w:pPr>
        <w:spacing w:line="540" w:lineRule="exact"/>
        <w:ind w:firstLine="960" w:firstLineChars="300"/>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left="319" w:firstLine="640" w:leftChars="152"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项目效益类指标包括项目实施效益和满意度两方面的内容，由2个三级指标构成，权重分为20分，实际得分20分，得分率为100%。具体效益指标及满意度指标完成情况如下：</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1.实施效益</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社会效益指标：医疗政策知晓率，指标值：95%，实际完成值：95.3%，指标完成率100.32%。</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2.满意度</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满意度指标：基本医疗保险参保群众满意度，指标值：90%，实际完成值：91.67%，指标完成率101.85.%。</w:t>
      </w:r>
    </w:p>
    <w:p>
      <w:pPr>
        <w:spacing w:line="540" w:lineRule="exact"/>
        <w:ind w:firstLine="960" w:firstLineChars="3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left="319" w:firstLine="640" w:leftChars="152" w:firstLineChars="200"/>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2024年自治区财政全民参保及医疗服务经费项目年初预算3万元，全年预算3万元，实际支出3万元，预算执行率为100%，项目绩效指标总体完成率为105.06%，总体偏差率为5.06%。偏差原因：年初制定指标时过于保守，数额确定的较低；改进措施：在今后的工作中要敢于创新不断提高目标任务，再创佳绩。</w:t>
      </w:r>
    </w:p>
    <w:p>
      <w:pPr>
        <w:spacing w:line="540" w:lineRule="exact"/>
        <w:ind w:firstLine="960" w:firstLineChars="3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left="638" w:firstLine="320" w:leftChars="304" w:firstLineChars="1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（一）主要经验及做法</w:t>
      </w:r>
    </w:p>
    <w:p>
      <w:pPr>
        <w:spacing w:line="540" w:lineRule="exact"/>
        <w:ind w:left="319" w:firstLine="640" w:leftChars="152" w:firstLineChars="200"/>
        <w:rPr>
          <w:rStyle w:val="Strong"/>
          <w:rFonts w:ascii="楷体" w:eastAsia="楷体" w:hAnsi="楷体" w:hint="eastAsia"/>
          <w:b w:val="0"/>
          <w:bCs w:val="0"/>
          <w:spacing w:val="-4"/>
          <w:sz w:val="32"/>
          <w:szCs w:val="32"/>
          <w:lang w:val="en-US" w:eastAsia="zh-CN"/>
        </w:rPr>
      </w:pPr>
      <w:r>
        <w:rPr>
          <w:rStyle w:val="Strong"/>
          <w:rFonts w:ascii="楷体" w:eastAsia="楷体" w:hAnsi="楷体" w:hint="eastAsia"/>
          <w:b w:val="0"/>
          <w:bCs w:val="0"/>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（二）存在的问题及原因分析</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1.相关绩效管理方面专业知识的系统性学习有待加强。各项指标的设置要进一步优化、完善，主要在细化、量化上改进。</w:t>
      </w:r>
      <w:r>
        <w:rPr>
          <w:rStyle w:val="Strong"/>
          <w:rFonts w:ascii="楷体" w:eastAsia="楷体" w:hAnsi="楷体" w:hint="eastAsia"/>
          <w:b w:val="0"/>
          <w:bCs w:val="0"/>
          <w:spacing w:val="-4"/>
          <w:sz w:val="32"/>
          <w:szCs w:val="32"/>
          <w:lang w:val="en-US" w:eastAsia="zh-CN"/>
        </w:rPr>
        <w:t xml:space="preserve">  </w:t>
      </w:r>
    </w:p>
    <w:p>
      <w:pPr>
        <w:spacing w:line="540" w:lineRule="exact"/>
        <w:ind w:left="319" w:firstLine="640" w:leftChars="152" w:firstLineChars="200"/>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在绩效自评过程中，由</w:t>
      </w:r>
      <w:r>
        <w:rPr>
          <w:rStyle w:val="Strong"/>
          <w:rFonts w:ascii="楷体" w:eastAsia="楷体" w:hAnsi="楷体" w:hint="eastAsia"/>
          <w:b w:val="0"/>
          <w:bCs w:val="0"/>
          <w:spacing w:val="-4"/>
          <w:sz w:val="32"/>
          <w:szCs w:val="32"/>
        </w:rPr>
        <w:t xml:space="preserve">干部</w:t>
      </w:r>
      <w:r>
        <w:rPr>
          <w:rStyle w:val="Strong"/>
          <w:rFonts w:ascii="楷体" w:eastAsia="楷体" w:hAnsi="楷体" w:hint="eastAsia"/>
          <w:b w:val="0"/>
          <w:bCs w:val="0"/>
          <w:spacing w:val="-4"/>
          <w:sz w:val="32"/>
          <w:szCs w:val="32"/>
        </w:rPr>
        <w:t xml:space="preserve">分人员缺乏相关绩效管理专业知识，自评价工作还存在自我审定的局限性，影响评价质量。</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2.因轮岗、调动等因素使我单位绩效工作人员流动频繁，造成工作衔接不到位的情况。</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加强绩效预算管理工作，按照预算编制相关制度要求，公用经费根据单位的人员编制和年度项目工作要求做好规划，本着“勤俭节约、保障运转”原则进行预算编制。编制范围（含政府采购预算）尽可能做到全面，提高工作科学性、合理性、严谨性和可控性。</w:t>
      </w:r>
    </w:p>
    <w:p>
      <w:pPr>
        <w:spacing w:line="540" w:lineRule="exact"/>
        <w:ind w:firstLine="960" w:firstLineChars="30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left="319" w:firstLine="640" w:leftChars="152" w:firstLineChars="200"/>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1.多进行有关绩效管理工作方面的培训。积极组织第三方开展绩效管理工作培训，进一步夯实业务基础，提高我单位绩效人员水平。</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2.专门设定对绩效工作人员定职、定岗、定责等相关制度措施，进一步提升我单位绩效管理工作业务水平，扎实做好绩效管理工作。</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960" w:firstLineChars="30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960" w:firstLineChars="3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1"/>
      <w:numFmt w:val="decimal"/>
      <w:suff w:val="nothing"/>
      <w:lvlText w:val="（%1）"/>
      <w:lvlJc w:val="left"/>
      <w:rPr/>
    </w:lvl>
  </w:abstractNum>
  <w:abstractNum w:abstractNumId="3">
    <w:multiLevelType w:val="singleLevel"/>
    <w:lvl w:ilvl="0">
      <w:start w:val="2"/>
      <w:numFmt w:val="decimal"/>
      <w:suff w:val="tab"/>
      <w:lvlText w:val="%1."/>
      <w:lvlJc w:val="left"/>
      <w:pPr>
        <w:tabs>
          <w:tab w:val="left" w:pos="312"/>
        </w:tabs>
      </w:pPr>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57DBCEFD8A8B44A28397D5FCCFAB60A5_13</vt:lpwstr>
  </property>
  <property fmtid="{D5CDD505-2E9C-101B-9397-08002B2CF9AE}" pid="4" name="KSOTemplateDocerSaveRecord">
    <vt:lpwstr>eyJoZGlkIjoiN2E3N2ExYzQ4Y2ZkM2M3YzkyYWJlNmM3ZmI1MTU5NzYiLCJ1c2VySWQiOiIxMTI0OTc0MjY4In0=</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8</TotalTime>
  <Pages>21</Pages>
  <Words>9791</Words>
  <Characters>10082</Characters>
  <Application>WPS Office_12.1.0.21915_F1E327BC-269C-435d-A152-05C5408002CA</Application>
  <DocSecurity>0</DocSecurity>
  <Lines>5</Lines>
  <Paragraphs>1</Paragraphs>
  <CharactersWithSpaces>10620</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鱼yu</cp:lastModifiedBy>
  <cp:revision>19</cp:revision>
  <cp:lastPrinted>2018-12-31T10:56:00Z</cp:lastPrinted>
  <dcterms:created xsi:type="dcterms:W3CDTF">2018-08-15T02:06:00Z</dcterms:created>
  <dcterms:modified xsi:type="dcterms:W3CDTF">2025-08-19T10:31:39Z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2052-12.1.0.21915</vt:lpwstr>
  </property>
  <property fmtid="{D5CDD505-2E9C-101B-9397-08002B2CF9AE}" pid="3" name="ICV">
    <vt:lpwstr>57DBCEFD8A8B44A28397D5FCCFAB60A5_13</vt:lpwstr>
  </property>
  <property fmtid="{D5CDD505-2E9C-101B-9397-08002B2CF9AE}" pid="4" name="KSOTemplateDocerSaveRecord">
    <vt:lpwstr>eyJoZGlkIjoiN2E3N2ExYzQ4Y2ZkM2M3YzkyYWJlNmM3ZmI1MTU5NzYiLCJ1c2VySWQiOiIxMTI0OTc0MjY4In0_x003D_</vt:lpwstr>
  </property>
</Properties>
</file>