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实施国家、自治区和地区医疗保险、生育保险、医疗保障救助等医疗保障制度，落实医疗保障相关政策、规划和标准并组织实施；实施医疗保险、人身意外伤害保险、大额医疗补助、公务员医疗补助、企事业单位补充医疗保险、享受国务院特殊津贴专家、离休人员和优抚对象医疗保障政策、管理办法并组织实施。</w:t>
      </w:r>
    </w:p>
    <w:p>
      <w:pPr>
        <w:spacing w:line="580" w:lineRule="exact"/>
        <w:ind w:firstLine="640"/>
        <w:jc w:val="both"/>
      </w:pPr>
      <w:r>
        <w:rPr>
          <w:rFonts w:ascii="仿宋_GB2312" w:hAnsi="仿宋_GB2312" w:eastAsia="仿宋_GB2312"/>
          <w:sz w:val="32"/>
        </w:rPr>
        <w:t>（二）组织拟订并实施医疗保障基金监督管理办法，建立健全医疗保障基金安全防控机制，承担推进医疗保障基金支付方式改革工作，编制全县医疗保障基金预决算草案。</w:t>
      </w:r>
    </w:p>
    <w:p>
      <w:pPr>
        <w:spacing w:line="580" w:lineRule="exact"/>
        <w:ind w:firstLine="640"/>
        <w:jc w:val="both"/>
      </w:pPr>
      <w:r>
        <w:rPr>
          <w:rFonts w:ascii="仿宋_GB2312" w:hAnsi="仿宋_GB2312" w:eastAsia="仿宋_GB2312"/>
          <w:sz w:val="32"/>
        </w:rPr>
        <w:t>（三）组织拟订医疗保障筹资和待遇政策，完善动态调整和区域调剂平衡机制，统筹城乡医疗保障待遇标准，建立健全与筹资水平相适应的待遇调整机制。拟订贯彻长期护理保险制度改革的方案并组织实施。</w:t>
      </w:r>
    </w:p>
    <w:p>
      <w:pPr>
        <w:spacing w:line="580" w:lineRule="exact"/>
        <w:ind w:firstLine="640"/>
        <w:jc w:val="both"/>
      </w:pPr>
      <w:r>
        <w:rPr>
          <w:rFonts w:ascii="仿宋_GB2312" w:hAnsi="仿宋_GB2312" w:eastAsia="仿宋_GB2312"/>
          <w:sz w:val="32"/>
        </w:rPr>
        <w:t>（四）组织拟订药品、医用耗材价格和医疗服务项目、医疗服务设施收费等政策并监督实施，执行自治区、地区制定的药品、医用耗材的招标釆购政策并监督实施，建立医保支付医药服务价格合理确定和动态调整机制，建立市场主导的社会医药服务价格形成机制，建立医药服务价格信息监测和信息发布制度，指导药品、医用耗材招标采购平台建设。</w:t>
      </w:r>
    </w:p>
    <w:p>
      <w:pPr>
        <w:spacing w:line="580" w:lineRule="exact"/>
        <w:ind w:firstLine="640"/>
        <w:jc w:val="both"/>
      </w:pPr>
      <w:r>
        <w:rPr>
          <w:rFonts w:ascii="仿宋_GB2312" w:hAnsi="仿宋_GB2312" w:eastAsia="仿宋_GB2312"/>
          <w:sz w:val="32"/>
        </w:rPr>
        <w:t>（五）组织实施药品、医用耗材、医疗服务项目、医疗服务设施等医保目录和支付标准，建立动态调整机制。</w:t>
      </w:r>
    </w:p>
    <w:p>
      <w:pPr>
        <w:spacing w:line="580" w:lineRule="exact"/>
        <w:ind w:firstLine="640"/>
        <w:jc w:val="both"/>
      </w:pPr>
      <w:r>
        <w:rPr>
          <w:rFonts w:ascii="仿宋_GB2312" w:hAnsi="仿宋_GB2312" w:eastAsia="仿宋_GB2312"/>
          <w:sz w:val="32"/>
        </w:rPr>
        <w:t>（六）制定定点医药机构协议和支付管理办法并组织实施，建立健全医疗保障信用评价体系和信息披露制度，监督管理纳入医保范围内的医疗服务行为和医疗费用，依法查处医疗保障、生育保险领域违法违规行为。</w:t>
      </w:r>
    </w:p>
    <w:p>
      <w:pPr>
        <w:spacing w:line="580" w:lineRule="exact"/>
        <w:ind w:firstLine="640"/>
        <w:jc w:val="both"/>
      </w:pPr>
      <w:r>
        <w:rPr>
          <w:rFonts w:ascii="仿宋_GB2312" w:hAnsi="仿宋_GB2312" w:eastAsia="仿宋_GB2312"/>
          <w:sz w:val="32"/>
        </w:rPr>
        <w:t>（七）负责医疗保障经办管理、公共服务体系和信息化建设。贯彻落实国家和自治区跨省异地就医管理和费用结算政策，贯彻落实全疆内异地就医和费用结算政策。建立健全医疗保障关系转移接续制度。</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裕民县医疗保障局2024年度，实有人数21人，其中：在职人员18人，减少2人；离休人员0人，增加0人；退休人员3人,增加2人。</w:t>
      </w:r>
    </w:p>
    <w:p>
      <w:pPr>
        <w:spacing w:line="580" w:lineRule="exact"/>
        <w:ind w:firstLine="640"/>
        <w:jc w:val="both"/>
      </w:pPr>
      <w:r>
        <w:rPr>
          <w:rFonts w:ascii="仿宋_GB2312" w:hAnsi="仿宋_GB2312" w:eastAsia="仿宋_GB2312"/>
          <w:sz w:val="32"/>
        </w:rPr>
        <w:t>裕民县医疗保障局无下属预算单位，下设6个科室，分别是：办公室、财务室、稽核科、征缴科、待遇科、复核科。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2024年度收入总计337.13万元，</w:t>
      </w:r>
      <w:r>
        <w:rPr>
          <w:rFonts w:ascii="仿宋_GB2312" w:hAnsi="仿宋_GB2312" w:eastAsia="仿宋_GB2312"/>
          <w:b w:val="0"/>
          <w:sz w:val="32"/>
        </w:rPr>
        <w:t>其中：本年收入合计337.13万元，使用非财政拨款结余（含专用结余）0.00万元，年初结转和结余0.00万元。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2024年度支出总计337.13万元，</w:t>
      </w:r>
      <w:r>
        <w:rPr>
          <w:rFonts w:ascii="仿宋_GB2312" w:hAnsi="仿宋_GB2312" w:eastAsia="仿宋_GB2312"/>
          <w:b w:val="0"/>
          <w:sz w:val="32"/>
        </w:rPr>
        <w:t>其中：本年支出合计337.13万元，结余分配0.00万元，年末结转和结余0.00万元。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减少13.37万元，下降3.81%，主要原因是：本年减少2023年中央财政医疗服务与保障能力提升补助资金项目。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本年收入337.13万元，</w:t>
      </w:r>
      <w:r>
        <w:rPr>
          <w:rFonts w:ascii="仿宋_GB2312" w:hAnsi="仿宋_GB2312" w:eastAsia="仿宋_GB2312"/>
          <w:b w:val="0"/>
          <w:sz w:val="32"/>
        </w:rPr>
        <w:t>其中：财政拨款收入337.13万元，占100.00%；上级补助收入0.00万元，占0.00%；事业收入0.00万元，占0.00%；经营收入0.00万元，占0.00%；附属单位上缴收入0.00万元，占0.00%；其他收入0.00万元，占0.00%。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本年支出337.13万元，</w:t>
      </w:r>
      <w:r>
        <w:rPr>
          <w:rFonts w:ascii="仿宋_GB2312" w:hAnsi="仿宋_GB2312" w:eastAsia="仿宋_GB2312"/>
          <w:b w:val="0"/>
          <w:sz w:val="32"/>
        </w:rPr>
        <w:t>其中：基本支出334.13万元，占99.11%；项目支出3.00万元，占0.89%；上缴上级支出0.00万元，占0.00%；经营支出0.00万元，占0.00%；对附属单位补助支出0.00万元，占0.00%。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2024年度财政拨款收入总计337.13万元，</w:t>
      </w:r>
      <w:r>
        <w:rPr>
          <w:rFonts w:ascii="仿宋_GB2312" w:hAnsi="仿宋_GB2312" w:eastAsia="仿宋_GB2312"/>
          <w:b w:val="0"/>
          <w:sz w:val="32"/>
        </w:rPr>
        <w:t>其中：年初财政拨款结转和结余0.00万元，本年财政拨款收入337.13万元。</w:t>
      </w:r>
      <w:r>
        <w:rPr>
          <w:rFonts w:ascii="仿宋_GB2312" w:hAnsi="仿宋_GB2312" w:eastAsia="仿宋_GB2312"/>
          <w:b/>
          <w:sz w:val="32"/>
        </w:rPr>
        <w:t>财政拨款支出总计337.13万元，</w:t>
      </w:r>
      <w:r>
        <w:rPr>
          <w:rFonts w:ascii="仿宋_GB2312" w:hAnsi="仿宋_GB2312" w:eastAsia="仿宋_GB2312"/>
          <w:b w:val="0"/>
          <w:sz w:val="32"/>
        </w:rPr>
        <w:t>其中：年末财政拨款结转和结余0.00万元，本年财政拨款支出337.13万元。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减少13.37万元，下降3.81%，主要原因是：本年减少2023年中央财政医疗服务与保障能力提升补助资金项目。</w:t>
      </w:r>
      <w:r>
        <w:rPr>
          <w:rFonts w:ascii="仿宋_GB2312" w:hAnsi="仿宋_GB2312" w:eastAsia="仿宋_GB2312"/>
          <w:b/>
          <w:sz w:val="32"/>
        </w:rPr>
        <w:t>与年初预算相比，</w:t>
      </w:r>
      <w:r>
        <w:rPr>
          <w:rFonts w:ascii="仿宋_GB2312" w:hAnsi="仿宋_GB2312" w:eastAsia="仿宋_GB2312"/>
          <w:b w:val="0"/>
          <w:sz w:val="32"/>
        </w:rPr>
        <w:t>年初预算数398.19万元，决算数337.13万元，预决算差异率-15.33%，主要原因是：本年在职人员减少2人，年中调减人员经费，导致预决算存在差异。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2024年度一般公共预算财政拨款支出337.13万元，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减少13.37万元，下降3.81%，主要原因是：本年减少2023年中央财政医疗服务与保障能力提升补助资金项目。</w:t>
      </w:r>
      <w:r>
        <w:rPr>
          <w:rFonts w:ascii="仿宋_GB2312" w:hAnsi="仿宋_GB2312" w:eastAsia="仿宋_GB2312"/>
          <w:b/>
          <w:sz w:val="32"/>
        </w:rPr>
        <w:t>与年初预算相比,</w:t>
      </w:r>
      <w:r>
        <w:rPr>
          <w:rFonts w:ascii="仿宋_GB2312" w:hAnsi="仿宋_GB2312" w:eastAsia="仿宋_GB2312"/>
          <w:b w:val="0"/>
          <w:sz w:val="32"/>
        </w:rPr>
        <w:t>年初预算数398.19万元，决算数337.13万元，预决算差异率-15.33%，主要原因是：本年在职人员减少2人，年中调减人员经费，导致预决算存在差异。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1.社会保障和就业支出(类)49.15万元,占14.58%。</w:t>
      </w:r>
    </w:p>
    <w:p>
      <w:pPr>
        <w:spacing w:line="580" w:lineRule="exact"/>
        <w:ind w:firstLine="640"/>
        <w:jc w:val="both"/>
      </w:pPr>
      <w:r>
        <w:rPr>
          <w:rFonts w:ascii="仿宋_GB2312" w:hAnsi="仿宋_GB2312" w:eastAsia="仿宋_GB2312"/>
          <w:b w:val="0"/>
          <w:sz w:val="32"/>
        </w:rPr>
        <w:t>2.卫生健康支出(类)263.41万元,占78.13%。</w:t>
      </w:r>
    </w:p>
    <w:p>
      <w:pPr>
        <w:spacing w:line="580" w:lineRule="exact"/>
        <w:ind w:firstLine="640"/>
        <w:jc w:val="both"/>
      </w:pPr>
      <w:r>
        <w:rPr>
          <w:rFonts w:ascii="仿宋_GB2312" w:hAnsi="仿宋_GB2312" w:eastAsia="仿宋_GB2312"/>
          <w:b w:val="0"/>
          <w:sz w:val="32"/>
        </w:rPr>
        <w:t>3.住房保障支出(类)24.56万元,占7.29%。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1.社会保障和就业支出(类)行政事业单位养老支出(款)行政单位离退休(项):支出决算数为1.37万元，比上年决算增加0.78万元，增长132.20%,主要原因是：本年退休人员增加，退休费支出增加，养老支出增加。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29.75万元，比上年决算增加2.24万元，增长8.14%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3.社会保障和就业支出(类)行政事业单位养老支出(款)机关事业单位职业年金缴费支出(项):支出决算数为18.03万元，比上年决算增加18.03万元，增长100.00%,主要原因是：本年新增退休人员，职业年金缴费支出增加。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4.卫生健康支出(类)行政事业单位医疗(款)行政单位医疗(项):支出决算数为21.11万元，比上年决算增加3.95万元，增长23.02%,主要原因是：本年在职人员工资基数调增，医疗缴费基数上涨，相应支出增加。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5.卫生健康支出(类)行政事业单位医疗(款)公务员医疗补助(项):支出决算数为2.32万元，比上年决算增加0.08万元，增长3.57%,主要原因是：本年在职人员工资基数调增，医疗缴费基数上涨，相应支出增加。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6.卫生健康支出(类)优抚对象医疗(款)其他优抚对象医疗支出(项):支出决算数为4.87万元，比上年决算减少24.06万元，下降83.17%,主要原因是：本年伤残军人医疗费支出减少。</w:t>
      </w:r>
    </w:p>
    <w:p>
      <w:pPr>
        <w:spacing w:line="580" w:lineRule="exact"/>
        <w:ind w:firstLine="640"/>
        <w:jc w:val="both"/>
      </w:pPr>
      <w:r>
        <w:rPr>
          <w:rFonts w:ascii="仿宋_GB2312" w:hAnsi="仿宋_GB2312" w:eastAsia="仿宋_GB2312"/>
          <w:b w:val="0"/>
          <w:sz w:val="32"/>
        </w:rPr>
        <w:t>7.卫生健康支出(类)医疗保障管理事务(款)行政运行(项):支出决算数为232.12万元，比上年决算减少4.91万元，下降2.07%,主要原因是：本年减少2023年中央财政医疗服务与保障能力提升补助资金项目。</w:t>
      </w:r>
    </w:p>
    <w:p>
      <w:pPr>
        <w:spacing w:line="580" w:lineRule="exact"/>
        <w:ind w:firstLine="640"/>
        <w:jc w:val="both"/>
      </w:pPr>
      <w:r>
        <w:rPr>
          <w:rFonts w:ascii="仿宋_GB2312" w:hAnsi="仿宋_GB2312" w:eastAsia="仿宋_GB2312"/>
          <w:b w:val="0"/>
          <w:sz w:val="32"/>
        </w:rPr>
        <w:t>8.卫生健康支出(类)医疗保障管理事务(款)医疗保障政策管理(项):支出决算数为0.00万元，比上年决算减少10.00万元，下降100.00%,主要原因是：本年减少2023年中央财政医疗服务与保障能力提升补助资金项目。</w:t>
      </w:r>
    </w:p>
    <w:p>
      <w:pPr>
        <w:spacing w:line="580" w:lineRule="exact"/>
        <w:ind w:firstLine="640"/>
        <w:jc w:val="both"/>
      </w:pPr>
      <w:r>
        <w:rPr>
          <w:rFonts w:ascii="仿宋_GB2312" w:hAnsi="仿宋_GB2312" w:eastAsia="仿宋_GB2312"/>
          <w:b w:val="0"/>
          <w:sz w:val="32"/>
        </w:rPr>
        <w:t>9.卫生健康支出(类)医疗保障管理事务(款)医疗保障经办事务(项):支出决算数为3.00万元，比上年决算增加1.00万元，增长50.00%,主要原因是：2024年自治区财政全民参保及医疗服务经费项目比上年增加。</w:t>
      </w:r>
    </w:p>
    <w:p>
      <w:pPr>
        <w:spacing w:line="580" w:lineRule="exact"/>
        <w:ind w:firstLine="640"/>
        <w:jc w:val="both"/>
      </w:pPr>
      <w:r>
        <w:rPr>
          <w:rFonts w:ascii="仿宋_GB2312" w:hAnsi="仿宋_GB2312" w:eastAsia="仿宋_GB2312"/>
          <w:b w:val="0"/>
          <w:sz w:val="32"/>
        </w:rPr>
        <w:t>10.住房保障支出(类)住房改革支出(款)住房公积金(项):支出决算数为24.56万元，比上年决算减少0.48万元，下降1.92%,主要原因是：本年在职人员减少2人，住房公积金支出减少。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2024年度一般公共预算财政拨款基本支出334.13万元，其中：</w:t>
      </w:r>
      <w:r>
        <w:rPr>
          <w:rFonts w:ascii="仿宋_GB2312" w:hAnsi="仿宋_GB2312" w:eastAsia="仿宋_GB2312"/>
          <w:b/>
          <w:sz w:val="32"/>
        </w:rPr>
        <w:t>人员经费312.57万元，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包括：基本工资、津贴补贴、奖金、绩效工资、机关事业单位基本养老保险缴费、职业年金缴费、职工基本医疗保险缴费、公务员医疗补助缴费、其他社会保障缴费、住房公积金、退休费、医疗费补助、奖励金。</w:t>
      </w:r>
    </w:p>
    <w:p>
      <w:pPr>
        <w:spacing w:line="580" w:lineRule="exact"/>
        <w:ind w:firstLine="640"/>
        <w:jc w:val="both"/>
      </w:pPr>
      <w:r>
        <w:rPr>
          <w:rFonts w:ascii="仿宋_GB2312" w:hAnsi="仿宋_GB2312" w:eastAsia="仿宋_GB2312"/>
          <w:b/>
          <w:sz w:val="32"/>
        </w:rPr>
        <w:t>公用经费21.56万元，</w:t>
      </w:r>
      <w:r>
        <w:rPr>
          <w:rFonts w:ascii="仿宋_GB2312" w:hAnsi="仿宋_GB2312" w:eastAsia="仿宋_GB2312"/>
          <w:b w:val="0"/>
          <w:sz w:val="32"/>
        </w:rPr>
        <w:t>包括：办公费、水费、电费、邮电费、取暖费、差旅费、维修（护）费、工会经费、公务用车运行维护费。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2024年度财政拨款“三公”经费支出0.66万元，</w:t>
      </w:r>
      <w:r>
        <w:rPr>
          <w:rFonts w:ascii="仿宋_GB2312" w:hAnsi="仿宋_GB2312" w:eastAsia="仿宋_GB2312"/>
          <w:b w:val="0"/>
          <w:sz w:val="32"/>
        </w:rPr>
        <w:t>比上年增加0.37万元，增长127.59%，主要原因是：本单位公务用车日渐老化，维修维护成本增加，导致公务用车运行维护费较上年增加。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公务用车购置及运行维护费支出0.66万元，占100.00%，比上年增加0.37万元，增长127.59%，主要原因是：本单位公务用车日渐老化，维修维护成本增加，导致公务用车运行维护费较上年增加。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0.66万元，其中：公务用车购置费0.00万元，公务用车运行维护费0.66万元。公务用车运行维护费开支内容包括车辆维修费、保险费、加油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0.66万元，预决算差异率-67.00%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0.66万元，预决算差异率-67.00%，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2024年度裕民县医疗保障局（行政单位和参照公务员法管理事业单位）机关运行经费支出21.56万元，比上年增加6.48万元，增长42.97%，主要原因是：本年度增加办公费支出。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2024年度政府采购支出总额0.70万元，其中：政府采购货物支出0.43万元、政府采购工程支出0.00万元、政府采购服务支出0.28万元。</w:t>
      </w:r>
    </w:p>
    <w:p>
      <w:pPr>
        <w:spacing w:line="580" w:lineRule="exact"/>
        <w:ind w:firstLine="640"/>
        <w:jc w:val="both"/>
      </w:pPr>
      <w:r>
        <w:rPr>
          <w:rFonts w:ascii="仿宋_GB2312" w:hAnsi="仿宋_GB2312" w:eastAsia="仿宋_GB2312"/>
          <w:b w:val="0"/>
          <w:sz w:val="32"/>
        </w:rPr>
        <w:t>授予中小企业合同金额0.70万元，占政府采购支出总额的100.00%，其中：授予小微企业合同金额0.70万元，占政府采购支出总额的100.00%。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15.98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352.17万元，实际执行总额337.13万元；预算绩效评价项目1个，全年预算数3.00万元，全年执行数3.00万元。预算绩效管理取得的成效：一是资金使用效率大幅提升。二是公共服务质量显著优化。发现的问题及原因：一是相关绩效管理方面专业知识的系统性学习有待加强。二是因轮岗、调动等因素使我单位绩效工作人员流动频繁，造成工作衔接不到位的情况。下一步改进措施：一是加强效管理工作方面的培训，提高我单位绩效人员水平。二是专门设定对绩效工作人员定职、定岗、定责等相关制度措施，进一步提升我单位绩效管理工作业务水平，扎实做好绩效管理工作。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裕民县医疗保障局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398.19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352.17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337.13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95.73%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395.19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349.17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334.13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 xml:space="preserve">1：提高城乡居民基本医疗保险全覆盖水平，完善城乡居民基本医疗保险缴费激励机制。 </w:t>
              <w:br/>
              <w:t xml:space="preserve">2：落实城乡居民基本医疗保险和大病医疗救助制度。                                                                                             </w:t>
              <w:br/>
              <w:t>3：广泛宣传医疗保险惠民政策知晓率95%，扩大医疗保险覆盖面完成参保率95%，确保“老有所养、病有所医”，提高人民群众的幸福感和获得感，参保群众满意度95%。</w:t>
              <w:br/>
              <w:t>4：通过构建覆盖城乡居民医疗补助项目，参与城镇居民医疗补助项目人员能够按方案获得医疗服务，减轻家庭医疗支出压力，促进社会和谐稳定。</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1:本年医疗保险参保人数为4.61万人，已完成年初计划，完成率为100%。</w:t>
              <w:br/>
              <w:br/>
              <w:t>2：组织医疗机构参加5次培训，不断提高医疗机构服务能力，增强了参保宣传力度，提高医保基金监管水平。</w:t>
              <w:br/>
              <w:br/>
              <w:t>3：对定点医药机构现场检查4次，严格执行医保基金监管检查，守住群众医保基金。</w:t>
              <w:br/>
              <w:br/>
              <w:t>4：广泛宣传医疗保险惠民政策知晓率95%，扩大医疗保险覆盖面完成参保率95%，确保“老有所养、病有所医”，提高人民群众的幸福感和获得感，参保群众满意度95%。</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医疗保险参保人数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&gt;=4万人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4.61万人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在职职工人数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组织医疗机构参加培训次数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定点医药机构现场检查次数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药品集中带量采购品种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基本医疗保险参保率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医保政策知晓率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2024年自治区财政全民参保及医疗服务经费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裕民县医疗保障局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裕民县医疗保障局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全民参保补助资金项目由自治区财政拨入3万元，用于2024年开展医疗保险全民参保及医疗服务工作。项目实施有效提高医疗保险参保率，使国家社保惠民的知晓率达到95%以上，群众的参保自觉性进一步提高，对于实现全民参保巨大的现实意义</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 xml:space="preserve">1：提高城乡居民基本医疗保险全覆盖水平，完善城乡居民基本医疗保险缴费激励机制。 </w:t>
              <w:br/>
              <w:t>2：广泛宣传医疗保险惠民政策知晓率95%，扩大医疗保险覆盖面完成参保率95%，确保“老有所养、病有所医”，提高人民群众的幸福感和获得感，参保群众满意度95%。定点医药机构现场检查次数不少于4次，医保政策宣传不少于2次。</w:t>
              <w:br/>
              <w:t>3：通过构建覆盖城乡居民医疗补助项目，参与城镇居民医疗补助项目人员能够按方案获得医疗服务，减轻家庭医疗支出压力，促进社会和谐稳定。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生育保险参保人数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&gt;=0.5万人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0.61万人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年初制定指标时过于保守，数额确定的较低；改进措施：在今后的工作中要敢于创新不断提高目标任务，再创佳绩。</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基本医疗保险参保人数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4.61万人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115.25%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年初制定指标时过于保守，数额确定的较低；改进措施：在今后的工作中要敢于创新不断提高目标任务，再创佳绩。</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基本医疗保险参保率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101.05%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偏差较小与目标值保持一致。</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按时报送各项社会保险基金季报数据及分析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每季度结束后的15日内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全民参保业务经办服务支出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全民参保宣传及能力提升支出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医疗政策知晓率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正式材料,原始凭证,工作资料,说明材料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100.32%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基本医疗保险参保群众满意度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101.85%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偏差较小与目标值保持一致。</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