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裕民县农业机械化技术学校2024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1、全面贯彻执行《新疆维吾尔自治区农业机械管理条例》和农业农村部《拖拉机驾驶培训管理办法》《农机成人教育暂行规定》。</w:t>
      </w:r>
    </w:p>
    <w:p>
      <w:pPr>
        <w:spacing w:line="580" w:lineRule="exact"/>
        <w:ind w:firstLine="640"/>
        <w:jc w:val="both"/>
      </w:pPr>
      <w:r>
        <w:rPr>
          <w:rFonts w:ascii="仿宋_GB2312" w:hAnsi="仿宋_GB2312" w:eastAsia="仿宋_GB2312"/>
          <w:sz w:val="32"/>
        </w:rPr>
        <w:t>2、根据农业机械化事业发展的需要，为农业机械使用维修、管理等人员提供多种形式，多层次的农业机械化技术培训。</w:t>
      </w:r>
    </w:p>
    <w:p>
      <w:pPr>
        <w:spacing w:line="580" w:lineRule="exact"/>
        <w:ind w:firstLine="640"/>
        <w:jc w:val="both"/>
      </w:pPr>
      <w:r>
        <w:rPr>
          <w:rFonts w:ascii="仿宋_GB2312" w:hAnsi="仿宋_GB2312" w:eastAsia="仿宋_GB2312"/>
          <w:sz w:val="32"/>
        </w:rPr>
        <w:t>3、对全县范围内的无证驾驶员进行系统培训。</w:t>
      </w:r>
    </w:p>
    <w:p>
      <w:pPr>
        <w:spacing w:line="580" w:lineRule="exact"/>
        <w:ind w:firstLine="640"/>
        <w:jc w:val="both"/>
      </w:pPr>
      <w:r>
        <w:rPr>
          <w:rFonts w:ascii="仿宋_GB2312" w:hAnsi="仿宋_GB2312" w:eastAsia="仿宋_GB2312"/>
          <w:sz w:val="32"/>
        </w:rPr>
        <w:t>4、对全县范围内农机行业特有工种进行职业技能培训。</w:t>
      </w:r>
    </w:p>
    <w:p>
      <w:pPr>
        <w:spacing w:line="580" w:lineRule="exact"/>
        <w:ind w:firstLine="640"/>
        <w:jc w:val="both"/>
      </w:pPr>
      <w:r>
        <w:rPr>
          <w:rFonts w:ascii="仿宋_GB2312" w:hAnsi="仿宋_GB2312" w:eastAsia="仿宋_GB2312"/>
          <w:sz w:val="32"/>
        </w:rPr>
        <w:t>5、在全县范围内对农牧民进行农机基本知识和技能的普及活动。</w:t>
      </w:r>
    </w:p>
    <w:p>
      <w:pPr>
        <w:spacing w:line="580" w:lineRule="exact"/>
        <w:ind w:firstLine="640"/>
        <w:jc w:val="both"/>
      </w:pPr>
      <w:r>
        <w:rPr>
          <w:rFonts w:ascii="仿宋_GB2312" w:hAnsi="仿宋_GB2312" w:eastAsia="仿宋_GB2312"/>
          <w:sz w:val="32"/>
        </w:rPr>
        <w:t>6、做好科技兴农机，送教下乡，科技下乡活动。</w:t>
      </w:r>
    </w:p>
    <w:p>
      <w:pPr>
        <w:spacing w:line="580" w:lineRule="exact"/>
        <w:ind w:firstLine="640"/>
        <w:jc w:val="both"/>
      </w:pPr>
      <w:r>
        <w:rPr>
          <w:rFonts w:ascii="仿宋_GB2312" w:hAnsi="仿宋_GB2312" w:eastAsia="仿宋_GB2312"/>
          <w:sz w:val="32"/>
        </w:rPr>
        <w:t>7、负责制订全县范围内的农机技术推广工作规划。</w:t>
      </w:r>
    </w:p>
    <w:p>
      <w:pPr>
        <w:spacing w:line="580" w:lineRule="exact"/>
        <w:ind w:firstLine="640"/>
        <w:jc w:val="both"/>
      </w:pPr>
      <w:r>
        <w:rPr>
          <w:rFonts w:ascii="仿宋_GB2312" w:hAnsi="仿宋_GB2312" w:eastAsia="仿宋_GB2312"/>
          <w:sz w:val="32"/>
        </w:rPr>
        <w:t>8、组织实施全县范围内农机新技术、新机具的试验、示范和推广工作。</w:t>
      </w:r>
    </w:p>
    <w:p>
      <w:pPr>
        <w:spacing w:line="580" w:lineRule="exact"/>
        <w:ind w:firstLine="640"/>
        <w:jc w:val="both"/>
      </w:pPr>
      <w:r>
        <w:rPr>
          <w:rFonts w:ascii="仿宋_GB2312" w:hAnsi="仿宋_GB2312" w:eastAsia="仿宋_GB2312"/>
          <w:sz w:val="32"/>
        </w:rPr>
        <w:t>9、承担国家、自治区、地区及县级交付的科技推广基础上的组织实施。</w:t>
      </w:r>
    </w:p>
    <w:p>
      <w:pPr>
        <w:spacing w:line="580" w:lineRule="exact"/>
        <w:ind w:firstLine="640"/>
        <w:jc w:val="both"/>
      </w:pPr>
      <w:r>
        <w:rPr>
          <w:rFonts w:ascii="仿宋_GB2312" w:hAnsi="仿宋_GB2312" w:eastAsia="仿宋_GB2312"/>
          <w:sz w:val="32"/>
        </w:rPr>
        <w:t>10、积极引进、推广具有先进性的新机具和农机新技术。</w:t>
      </w:r>
    </w:p>
    <w:p>
      <w:pPr>
        <w:spacing w:line="580" w:lineRule="exact"/>
        <w:ind w:firstLine="640"/>
        <w:jc w:val="both"/>
      </w:pPr>
      <w:r>
        <w:rPr>
          <w:rFonts w:ascii="仿宋_GB2312" w:hAnsi="仿宋_GB2312" w:eastAsia="仿宋_GB2312"/>
          <w:sz w:val="32"/>
        </w:rPr>
        <w:t>11、承办县农业农村局交办的其它工作。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裕民县农业机械化技术学校2024年度，实有人数24人，其中：在职人员9人，增加1人；离休人员0人，增加0人；退休人员15人,增加0人。</w:t>
      </w:r>
    </w:p>
    <w:p>
      <w:pPr>
        <w:spacing w:line="580" w:lineRule="exact"/>
        <w:ind w:firstLine="640"/>
        <w:jc w:val="both"/>
      </w:pPr>
      <w:r>
        <w:rPr>
          <w:rFonts w:ascii="仿宋_GB2312" w:hAnsi="仿宋_GB2312" w:eastAsia="仿宋_GB2312"/>
          <w:sz w:val="32"/>
        </w:rPr>
        <w:t>裕民县农业机械化技术学校无下属预算单位，下设3个科室，分别是：农机推广站、财务室、办公室。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2024年度收入总计181.05万元，</w:t>
      </w:r>
      <w:r>
        <w:rPr>
          <w:rFonts w:ascii="仿宋_GB2312" w:hAnsi="仿宋_GB2312" w:eastAsia="仿宋_GB2312"/>
          <w:b w:val="0"/>
          <w:sz w:val="32"/>
        </w:rPr>
        <w:t>其中：本年收入合计180.55万元，使用非财政拨款结余（含专用结余）0.00万元，年初结转和结余0.50万元。</w:t>
      </w:r>
    </w:p>
    <w:p>
      <w:pPr>
        <w:spacing w:line="580" w:lineRule="exact"/>
        <w:ind w:firstLine="640"/>
        <w:jc w:val="both"/>
      </w:pPr>
      <w:r>
        <w:rPr>
          <w:rFonts w:ascii="仿宋_GB2312" w:hAnsi="仿宋_GB2312" w:eastAsia="仿宋_GB2312"/>
          <w:b/>
          <w:sz w:val="32"/>
        </w:rPr>
        <w:t>2024年度支出总计181.05万元，</w:t>
      </w:r>
      <w:r>
        <w:rPr>
          <w:rFonts w:ascii="仿宋_GB2312" w:hAnsi="仿宋_GB2312" w:eastAsia="仿宋_GB2312"/>
          <w:b w:val="0"/>
          <w:sz w:val="32"/>
        </w:rPr>
        <w:t>其中：本年支出合计180.55万元，结余分配0.00万元，年末结转和结余0.50万元。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减少34.02万元，下降15.82%，主要原因是：本年无新增退休人员，职业年金缴费支出减少。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本年收入180.55万元，</w:t>
      </w:r>
      <w:r>
        <w:rPr>
          <w:rFonts w:ascii="仿宋_GB2312" w:hAnsi="仿宋_GB2312" w:eastAsia="仿宋_GB2312"/>
          <w:b w:val="0"/>
          <w:sz w:val="32"/>
        </w:rPr>
        <w:t>其中：财政拨款收入180.55万元，占100.00%；上级补助收入0.00万元，占0.00%；事业收入0.00万元，占0.00%；经营收入0.00万元，占0.00%；附属单位上缴收入0.00万元，占0.00%；其他收入0.00万元，占0.00%。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本年支出180.55万元，</w:t>
      </w:r>
      <w:r>
        <w:rPr>
          <w:rFonts w:ascii="仿宋_GB2312" w:hAnsi="仿宋_GB2312" w:eastAsia="仿宋_GB2312"/>
          <w:b w:val="0"/>
          <w:sz w:val="32"/>
        </w:rPr>
        <w:t>其中：基本支出180.55万元，占100.00%；项目支出0.00万元，占0.00%；上缴上级支出0.00万元，占0.00%；经营支出0.00万元，占0.00%；对附属单位补助支出0.00万元，占0.00%。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2024年度财政拨款收入总计181.05万元，</w:t>
      </w:r>
      <w:r>
        <w:rPr>
          <w:rFonts w:ascii="仿宋_GB2312" w:hAnsi="仿宋_GB2312" w:eastAsia="仿宋_GB2312"/>
          <w:b w:val="0"/>
          <w:sz w:val="32"/>
        </w:rPr>
        <w:t>其中：年初财政拨款结转和结余0.50万元，本年财政拨款收入180.55万元。</w:t>
      </w:r>
      <w:r>
        <w:rPr>
          <w:rFonts w:ascii="仿宋_GB2312" w:hAnsi="仿宋_GB2312" w:eastAsia="仿宋_GB2312"/>
          <w:b/>
          <w:sz w:val="32"/>
        </w:rPr>
        <w:t>财政拨款支出总计181.05万元，</w:t>
      </w:r>
      <w:r>
        <w:rPr>
          <w:rFonts w:ascii="仿宋_GB2312" w:hAnsi="仿宋_GB2312" w:eastAsia="仿宋_GB2312"/>
          <w:b w:val="0"/>
          <w:sz w:val="32"/>
        </w:rPr>
        <w:t>其中：年末财政拨款结转和结余0.50万元，本年财政拨款支出180.55万元。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减少34.02万元，下降15.82%，主要原因是：本年无新增退休人员，职业年金缴费支出减少。</w:t>
      </w:r>
      <w:r>
        <w:rPr>
          <w:rFonts w:ascii="仿宋_GB2312" w:hAnsi="仿宋_GB2312" w:eastAsia="仿宋_GB2312"/>
          <w:b/>
          <w:sz w:val="32"/>
        </w:rPr>
        <w:t>与年初预算相比，</w:t>
      </w:r>
      <w:r>
        <w:rPr>
          <w:rFonts w:ascii="仿宋_GB2312" w:hAnsi="仿宋_GB2312" w:eastAsia="仿宋_GB2312"/>
          <w:b w:val="0"/>
          <w:sz w:val="32"/>
        </w:rPr>
        <w:t>年初预算数172.76万元，决算数181.05万元，预决算差异率4.80%，主要原因是：年中追加人员工资、社保、公积金基数调增部分资金，导致预决算存在差异。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2024年度一般公共预算财政拨款支出180.55万元，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减少34.02万元，下降15.85%，主要原因是：本年无新增退休人员，职业年金缴费支出减少。</w:t>
      </w:r>
      <w:r>
        <w:rPr>
          <w:rFonts w:ascii="仿宋_GB2312" w:hAnsi="仿宋_GB2312" w:eastAsia="仿宋_GB2312"/>
          <w:b/>
          <w:sz w:val="32"/>
        </w:rPr>
        <w:t>与年初预算相比,</w:t>
      </w:r>
      <w:r>
        <w:rPr>
          <w:rFonts w:ascii="仿宋_GB2312" w:hAnsi="仿宋_GB2312" w:eastAsia="仿宋_GB2312"/>
          <w:b w:val="0"/>
          <w:sz w:val="32"/>
        </w:rPr>
        <w:t>年初预算数172.76万元，决算数180.55万元，预决算差异率4.51%，主要原因是：年中追加人员工资、社保、公积金基数调增部分资金，导致预决算存在差异。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1.社会保障和就业支出(类)29.08万元,占16.11%。</w:t>
      </w:r>
    </w:p>
    <w:p>
      <w:pPr>
        <w:spacing w:line="580" w:lineRule="exact"/>
        <w:ind w:firstLine="640"/>
        <w:jc w:val="both"/>
      </w:pPr>
      <w:r>
        <w:rPr>
          <w:rFonts w:ascii="仿宋_GB2312" w:hAnsi="仿宋_GB2312" w:eastAsia="仿宋_GB2312"/>
          <w:b w:val="0"/>
          <w:sz w:val="32"/>
        </w:rPr>
        <w:t>2.卫生健康支出(类)7.09万元,占3.93%。</w:t>
      </w:r>
    </w:p>
    <w:p>
      <w:pPr>
        <w:spacing w:line="580" w:lineRule="exact"/>
        <w:ind w:firstLine="640"/>
        <w:jc w:val="both"/>
      </w:pPr>
      <w:r>
        <w:rPr>
          <w:rFonts w:ascii="仿宋_GB2312" w:hAnsi="仿宋_GB2312" w:eastAsia="仿宋_GB2312"/>
          <w:b w:val="0"/>
          <w:sz w:val="32"/>
        </w:rPr>
        <w:t>3.农林水支出(类)131.33万元,占72.74%。</w:t>
      </w:r>
    </w:p>
    <w:p>
      <w:pPr>
        <w:spacing w:line="580" w:lineRule="exact"/>
        <w:ind w:firstLine="640"/>
        <w:jc w:val="both"/>
      </w:pPr>
      <w:r>
        <w:rPr>
          <w:rFonts w:ascii="仿宋_GB2312" w:hAnsi="仿宋_GB2312" w:eastAsia="仿宋_GB2312"/>
          <w:b w:val="0"/>
          <w:sz w:val="32"/>
        </w:rPr>
        <w:t>4.住房保障支出(类)13.04万元,占7.22%。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1.社会保障和就业支出(类)行政事业单位养老支出(款)事业单位离退休(项):支出决算数为12.05万元，比上年决算增加3.07万元，增长34.19%,主要原因是：本年增加退休人员基础绩效奖，退休费支出增加。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17.02万元，比上年决算增加2.53万元，增长17.46%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32.40万元，下降100.00%,主要原因是：本年无新增退休人员，职业年金缴费较上年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4.卫生健康支出(类)行政事业单位医疗(款)事业单位医疗(项):支出决算数为7.09万元，比上年决算减少1.67万元，下降19.06%,主要原因是：本年在职人员减少，事业单位医疗较上年减少。</w:t>
      </w:r>
    </w:p>
    <w:p>
      <w:pPr>
        <w:spacing w:line="580" w:lineRule="exact"/>
        <w:ind w:firstLine="640"/>
        <w:jc w:val="both"/>
      </w:pPr>
      <w:r>
        <w:rPr>
          <w:rFonts w:ascii="仿宋_GB2312" w:hAnsi="仿宋_GB2312" w:eastAsia="仿宋_GB2312"/>
          <w:b w:val="0"/>
          <w:sz w:val="32"/>
        </w:rPr>
        <w:t>5.农林水支出(类)农业农村(款)事业运行(项):支出决算数为131.33万元，比上年决算减少6.40万元，下降4.65%,主要原因是：2023年退休4人，发放人员绩效，本年未发放这4人绩效，导致经费减少。</w:t>
      </w:r>
    </w:p>
    <w:p>
      <w:pPr>
        <w:spacing w:line="580" w:lineRule="exact"/>
        <w:ind w:firstLine="640"/>
        <w:jc w:val="both"/>
      </w:pPr>
      <w:r>
        <w:rPr>
          <w:rFonts w:ascii="仿宋_GB2312" w:hAnsi="仿宋_GB2312" w:eastAsia="仿宋_GB2312"/>
          <w:b w:val="0"/>
          <w:sz w:val="32"/>
        </w:rPr>
        <w:t>6.住房保障支出(类)住房改革支出(款)住房公积金(项):支出决算数为13.04万元，比上年决算增加0.82万元，增长6.71%,主要原因是：本年在职人员工资基数调增，公积金缴费基数上涨，相应支出增加。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2024年度一般公共预算财政拨款基本支出180.55万元，其中：</w:t>
      </w:r>
      <w:r>
        <w:rPr>
          <w:rFonts w:ascii="仿宋_GB2312" w:hAnsi="仿宋_GB2312" w:eastAsia="仿宋_GB2312"/>
          <w:b/>
          <w:sz w:val="32"/>
        </w:rPr>
        <w:t>人员经费173.23万元，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公用经费7.32万元，</w:t>
      </w:r>
      <w:r>
        <w:rPr>
          <w:rFonts w:ascii="仿宋_GB2312" w:hAnsi="仿宋_GB2312" w:eastAsia="仿宋_GB2312"/>
          <w:b w:val="0"/>
          <w:sz w:val="32"/>
        </w:rPr>
        <w:t>包括：办公费、电费、取暖费、劳务费、工会经费、公务用车运行维护费。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2024年度财政拨款“三公”经费支出1.24万元，</w:t>
      </w:r>
      <w:r>
        <w:rPr>
          <w:rFonts w:ascii="仿宋_GB2312" w:hAnsi="仿宋_GB2312" w:eastAsia="仿宋_GB2312"/>
          <w:b w:val="0"/>
          <w:sz w:val="32"/>
        </w:rPr>
        <w:t>比上年减少0.32万元，下降20.51%，主要原因是：严格落实中央八项规定精神，厉行节约，减少公务用车运行维护费。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公务用车购置及运行维护费支出1.24万元，占100.00%，比上年减少0.32万元，下降20.51%，主要原因是：严格落实中央八项规定精神，厉行节约，减少公务用车运行维护费。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1.24万元，其中：公务用车购置费0.00万元，公务用车运行维护费1.24万元。公务用车运行维护费开支内容包括车辆加油费、维修费、保险费、审车费。公务用车购置数0辆，公务用车保有量1辆。国有资产占用情况中固定资产车辆0辆，与公务用车保有量差异原因是：借用农业局车，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1.24万元，决算数1.24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1.24万元，决算数1.24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2024年度裕民县农业机械化技术学校（事业单位）公用经费支出7.32万元，比上年减少1.50万元，下降17.01%，主要原因是：严格控制公用经费，合理节约办公用品，减少不必要开支。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2024年度政府采购支出总额0.24万元，其中：政府采购货物支出0.00万元、政府采购工程支出0.00万元、政府采购服务支出0.24万元。</w:t>
      </w:r>
    </w:p>
    <w:p>
      <w:pPr>
        <w:spacing w:line="580" w:lineRule="exact"/>
        <w:ind w:firstLine="640"/>
        <w:jc w:val="both"/>
      </w:pPr>
      <w:r>
        <w:rPr>
          <w:rFonts w:ascii="仿宋_GB2312" w:hAnsi="仿宋_GB2312" w:eastAsia="仿宋_GB2312"/>
          <w:b w:val="0"/>
          <w:sz w:val="32"/>
        </w:rPr>
        <w:t>授予中小企业合同金额0.24万元，占政府采购支出总额的100.00%，其中：授予小微企业合同金额0.24万元，占政府采购支出总额的100.00%。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183.01万元，实际执行总额180.55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裕民县农业机械化技术学校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172.76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183.01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8.66</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172.76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183.01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农机校将紧紧围绕地委、县委提出的工作重点和任务，协同推进农业机械化和经济社会高质量发展为主线，以改善农业全面机械化为核心，以解决突出问题为重点，以落实农机安全生产为抓手，全力抓好农业机械化工作,为全县农业生产全程机械化和经济社会高质量发展打下良好的基础。农机管理，农机科研,农机化调研，引进和推广农机新技术与新机具促进农业机械化发展，优化农业机械装备结构。</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农机校将紧紧围绕地委、县委提出的工作重点和任务，协同推进农业机械化和经济社会高质量发展为主线，以改善农业全面机械化为核心，以解决突出问题为重点，以落实农机安全生产为抓手，全力抓好农业机械化工作,为全县农业生产全程机械化和经济社会高质量发展打下良好的基础。农机管理，农机科研,农机化调研，引进和推广农机新技术与新机具促进农业机械化发展，优化农业机械装备结构。</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农机化调研次数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农机管理县数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开展农机培训次数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开展农机宣传次数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开展田间操作示范次数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培训学员人数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