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val="en-US" w:eastAsia="zh-CN"/>
        </w:rPr>
        <w:t>本单位主要职能涉密不予公开</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hint="eastAsia" w:ascii="仿宋_GB2312" w:hAnsi="仿宋_GB2312" w:eastAsia="仿宋_GB2312"/>
          <w:sz w:val="32"/>
          <w:lang w:val="en-US" w:eastAsia="zh-CN"/>
        </w:rPr>
        <w:t>本单位机构设置及人员情况涉密不予公开</w:t>
      </w:r>
      <w:r>
        <w:rPr>
          <w:rFonts w:ascii="仿宋_GB2312" w:hAnsi="仿宋_GB2312" w:eastAsia="仿宋_GB2312"/>
          <w:sz w:val="32"/>
        </w:rPr>
        <w:t>。</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2024年度收入总计9,054.38万元，</w:t>
      </w:r>
      <w:r>
        <w:rPr>
          <w:rFonts w:ascii="仿宋_GB2312" w:hAnsi="仿宋_GB2312" w:eastAsia="仿宋_GB2312"/>
          <w:b w:val="0"/>
          <w:sz w:val="32"/>
        </w:rPr>
        <w:t>其中：本年收入合计8,957.67万元，使用非财政拨款结余（含专用结余）0.00万元，年初结转和结余96.71万元。</w:t>
      </w:r>
    </w:p>
    <w:p>
      <w:pPr>
        <w:spacing w:line="580" w:lineRule="exact"/>
        <w:ind w:firstLine="640"/>
        <w:jc w:val="both"/>
      </w:pPr>
      <w:r>
        <w:rPr>
          <w:rFonts w:ascii="仿宋_GB2312" w:hAnsi="仿宋_GB2312" w:eastAsia="仿宋_GB2312"/>
          <w:b/>
          <w:sz w:val="32"/>
        </w:rPr>
        <w:t>2024年度支出总计9,054.38万元，</w:t>
      </w:r>
      <w:r>
        <w:rPr>
          <w:rFonts w:ascii="仿宋_GB2312" w:hAnsi="仿宋_GB2312" w:eastAsia="仿宋_GB2312"/>
          <w:b w:val="0"/>
          <w:sz w:val="32"/>
        </w:rPr>
        <w:t>其中：本年支出合计8,957.67万元，结余分配0.00万元，年末结转和结余96.71万元。</w:t>
      </w:r>
    </w:p>
    <w:p>
      <w:pPr>
        <w:spacing w:line="580" w:lineRule="exact"/>
        <w:ind w:firstLine="640"/>
        <w:jc w:val="both"/>
      </w:pPr>
      <w:r>
        <w:rPr>
          <w:rFonts w:ascii="仿宋_GB2312" w:hAnsi="仿宋_GB2312" w:eastAsia="仿宋_GB2312"/>
          <w:b w:val="0"/>
          <w:sz w:val="32"/>
        </w:rPr>
        <w:t>收入支出总体与上年相比，增加3,065.84万元，增长51.20%，主要原因是：本年新增专项项目资金。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本年收入8,957.67万元，</w:t>
      </w:r>
      <w:r>
        <w:rPr>
          <w:rFonts w:ascii="仿宋_GB2312" w:hAnsi="仿宋_GB2312" w:eastAsia="仿宋_GB2312"/>
          <w:b w:val="0"/>
          <w:sz w:val="32"/>
        </w:rPr>
        <w:t>其中：财政拨款收入8,853.67万元，占98.84%；上级补助收入0.00万元，占0.00%；事业收入0.00万元，占0.00%；经营收入0.00万元，占0.00%；附属单位上缴收入0.00万元，占0.00%；其他收入104.00万元，占1.16%。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本年支出8,957.67万元，</w:t>
      </w:r>
      <w:r>
        <w:rPr>
          <w:rFonts w:ascii="仿宋_GB2312" w:hAnsi="仿宋_GB2312" w:eastAsia="仿宋_GB2312"/>
          <w:b w:val="0"/>
          <w:sz w:val="32"/>
        </w:rPr>
        <w:t>其中：基本支出8,342.55万元，占93.13%；项目支出615.12万元，占6.87%；上缴上级支出0.00万元，占0.00%；经营支出0.00万元，占0.00%；对附属单位补助支出0.00万元，占0.00%。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2024年度财政拨款收入总计8,853.67万元，</w:t>
      </w:r>
      <w:r>
        <w:rPr>
          <w:rFonts w:ascii="仿宋_GB2312" w:hAnsi="仿宋_GB2312" w:eastAsia="仿宋_GB2312"/>
          <w:b w:val="0"/>
          <w:sz w:val="32"/>
        </w:rPr>
        <w:t>其中：年初财政拨款结转和结余0.00万元，本年财政拨款收入8,853.67万元。</w:t>
      </w:r>
      <w:r>
        <w:rPr>
          <w:rFonts w:ascii="仿宋_GB2312" w:hAnsi="仿宋_GB2312" w:eastAsia="仿宋_GB2312"/>
          <w:b/>
          <w:sz w:val="32"/>
        </w:rPr>
        <w:t>财政拨款支出总计8,853.67万元，</w:t>
      </w:r>
      <w:r>
        <w:rPr>
          <w:rFonts w:ascii="仿宋_GB2312" w:hAnsi="仿宋_GB2312" w:eastAsia="仿宋_GB2312"/>
          <w:b w:val="0"/>
          <w:sz w:val="32"/>
        </w:rPr>
        <w:t>其中：年末财政拨款结转和结余0.00万元，本年财政拨款支出8,853.67万元。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增加4,455.23万元，增长101.29%，主要原因是：本年新增专项项目资金；增加其他人员人身意外保险经费、体检费、被装及装备购置费；增加电子警察和视频补点建设项目；人员工资调增，人员经费增加。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8,817.07万元，决算数8,853.67万元，预决算差异率0.42%，主要原因是：年中追加人员工资、社保、公积金基数调增部分资金、退休去世人员抚恤金、职业年金及电子警察和视频补点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2024年度一般公共预算财政拨款支出8,853.67万元，</w:t>
      </w:r>
      <w:r>
        <w:rPr>
          <w:rFonts w:ascii="仿宋_GB2312" w:hAnsi="仿宋_GB2312" w:eastAsia="仿宋_GB2312"/>
          <w:b w:val="0"/>
          <w:sz w:val="32"/>
        </w:rPr>
        <w:t>占本年支出合计的98.84%。</w:t>
      </w:r>
      <w:r>
        <w:rPr>
          <w:rFonts w:ascii="仿宋_GB2312" w:hAnsi="仿宋_GB2312" w:eastAsia="仿宋_GB2312"/>
          <w:b/>
          <w:sz w:val="32"/>
        </w:rPr>
        <w:t>与上年相比，</w:t>
      </w:r>
      <w:r>
        <w:rPr>
          <w:rFonts w:ascii="仿宋_GB2312" w:hAnsi="仿宋_GB2312" w:eastAsia="仿宋_GB2312"/>
          <w:b w:val="0"/>
          <w:sz w:val="32"/>
        </w:rPr>
        <w:t>增加4,458.92万元，增长101.46%，主要原因是：本年新增专项项目资金；增加其他人员人身意外保险经费、体检费、被装及装备购置费；增加电子警察和视频补点建设项目；人员工资调增，人员经费增加。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8,817.07万元，决算数8,853.67万元，预决算差异率0.42%，主要原因是：年中追加人员工资、社保、公积金基数调增部分资金、退休去世人员抚恤金、职业年金及电子警察和视频补点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1.公共安全支出(类)8,176.44万元,占92.35%。</w:t>
      </w:r>
    </w:p>
    <w:p>
      <w:pPr>
        <w:spacing w:line="580" w:lineRule="exact"/>
        <w:ind w:firstLine="640"/>
        <w:jc w:val="both"/>
      </w:pPr>
      <w:r>
        <w:rPr>
          <w:rFonts w:ascii="仿宋_GB2312" w:hAnsi="仿宋_GB2312" w:eastAsia="仿宋_GB2312"/>
          <w:b w:val="0"/>
          <w:sz w:val="32"/>
        </w:rPr>
        <w:t>2.社会保障和就业支出(类)317.55万元,占3.59%。</w:t>
      </w:r>
    </w:p>
    <w:p>
      <w:pPr>
        <w:spacing w:line="580" w:lineRule="exact"/>
        <w:ind w:firstLine="640"/>
        <w:jc w:val="both"/>
      </w:pPr>
      <w:r>
        <w:rPr>
          <w:rFonts w:ascii="仿宋_GB2312" w:hAnsi="仿宋_GB2312" w:eastAsia="仿宋_GB2312"/>
          <w:b w:val="0"/>
          <w:sz w:val="32"/>
        </w:rPr>
        <w:t>3.卫生健康支出(类)134.56万元,占1.52%。</w:t>
      </w:r>
    </w:p>
    <w:p>
      <w:pPr>
        <w:spacing w:line="580" w:lineRule="exact"/>
        <w:ind w:firstLine="640"/>
        <w:jc w:val="both"/>
      </w:pPr>
      <w:r>
        <w:rPr>
          <w:rFonts w:ascii="仿宋_GB2312" w:hAnsi="仿宋_GB2312" w:eastAsia="仿宋_GB2312"/>
          <w:b w:val="0"/>
          <w:sz w:val="32"/>
        </w:rPr>
        <w:t>4.农林水支出(类)10.00万元,占0.11%。</w:t>
      </w:r>
    </w:p>
    <w:p>
      <w:pPr>
        <w:spacing w:line="580" w:lineRule="exact"/>
        <w:ind w:firstLine="640"/>
        <w:jc w:val="both"/>
      </w:pPr>
      <w:r>
        <w:rPr>
          <w:rFonts w:ascii="仿宋_GB2312" w:hAnsi="仿宋_GB2312" w:eastAsia="仿宋_GB2312"/>
          <w:b w:val="0"/>
          <w:sz w:val="32"/>
        </w:rPr>
        <w:t>5.住房保障支出(类)215.12万元,占2.43%。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1.公共安全支出(类)公安(款)行政运行(项):支出决算数为7,470.55万元，比上年决算增加5,148.57万元，增长221.73%,主要原因是：本年在职人员工资调增，人员经费增加；增加专项项目资金。</w:t>
      </w:r>
    </w:p>
    <w:p>
      <w:pPr>
        <w:spacing w:line="580" w:lineRule="exact"/>
        <w:ind w:firstLine="640"/>
        <w:jc w:val="both"/>
      </w:pPr>
      <w:r>
        <w:rPr>
          <w:rFonts w:ascii="仿宋_GB2312" w:hAnsi="仿宋_GB2312" w:eastAsia="仿宋_GB2312"/>
          <w:b w:val="0"/>
          <w:sz w:val="32"/>
        </w:rPr>
        <w:t>2.公共安全支出(类)公安(款)执法办案(项):支出决算数为0.00万元，比上年决算减少32.00万元，下降100.00%,主要原因是：本年科目调整，公安业务经费上年在执法办案列支，本年调整至其他公安支出，导致经费减少。</w:t>
      </w:r>
    </w:p>
    <w:p>
      <w:pPr>
        <w:spacing w:line="580" w:lineRule="exact"/>
        <w:ind w:firstLine="640"/>
        <w:jc w:val="both"/>
      </w:pPr>
      <w:r>
        <w:rPr>
          <w:rFonts w:ascii="仿宋_GB2312" w:hAnsi="仿宋_GB2312" w:eastAsia="仿宋_GB2312"/>
          <w:b w:val="0"/>
          <w:sz w:val="32"/>
        </w:rPr>
        <w:t>3.公共安全支出(类)公安(款)其他公安支出(项):支出决算数为705.89万元，比上年决算减少532.31万元，下降42.99%,主要原因是：一是2024年上级拨付的业务装备经费减少；二是2024年无上级拨付的重大安保补助经费；三是2024年联合作战平台项目还款较上年减少。</w:t>
      </w:r>
    </w:p>
    <w:p>
      <w:pPr>
        <w:spacing w:line="580" w:lineRule="exact"/>
        <w:ind w:firstLine="640"/>
        <w:jc w:val="both"/>
      </w:pPr>
      <w:r>
        <w:rPr>
          <w:rFonts w:ascii="仿宋_GB2312" w:hAnsi="仿宋_GB2312" w:eastAsia="仿宋_GB2312"/>
          <w:b w:val="0"/>
          <w:sz w:val="32"/>
        </w:rPr>
        <w:t>4.公共安全支出(类)其他公共安全支出(款)其他公共安全支出(项):支出决算数为0.00万元，比上年决算减少135.25万元，下降100.00%,主要原因是：本年科目调整，专线租赁费上年在其他公共安全支出，本年调整至其他公安支出，导致经费减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5.社会保障和就业支出(类)行政事业单位养老支出(款)行政单位离退休(项):支出决算数为51.72万元，比上年决算增加2.99万元，增长6.14%,主要原因是：2024年新增退休人员，行政单位离退休经费增加。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230.63万元，比上年决算增加8.08万元，增长3.63%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35.20万元，比上年决算减少18.93万元，下降34.97%,主要原因是：上年度职业年金支出中包括在职转退休人员及调出人员职业年金公补部分，2024年职业年金支出中仅包括在职转退休人员，无调出人员，导致经费减少。</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8.卫生健康支出(类)行政事业单位医疗(款)行政单位医疗(项):支出决算数为93.83万元，比上年决算减少6.41万元，下降6.39%,主要原因是：本年在职人员减少，行政单位医疗支出较上年减少。</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40.73万元，比上年决算增加0.10万元，增长0.25%,主要原因是：2024年本单位公务员新增6人（新招录5人、调入1人），当年在职转退休公务员4人，新增公务员人数大于退休公务员人数，因此公务员医疗补助支出增加。</w:t>
      </w:r>
    </w:p>
    <w:p>
      <w:pPr>
        <w:spacing w:line="580" w:lineRule="exact"/>
        <w:ind w:firstLine="640"/>
        <w:jc w:val="both"/>
      </w:pPr>
      <w:r>
        <w:rPr>
          <w:rFonts w:ascii="仿宋_GB2312" w:hAnsi="仿宋_GB2312" w:eastAsia="仿宋_GB2312"/>
          <w:b w:val="0"/>
          <w:sz w:val="32"/>
        </w:rPr>
        <w:t>10.农林水支出(类)农业农村(款)其他农业农村支出(项):支出决算数为10.00万元，比上年决算增加0.00万元，增长0.00%,主要原因是：本年驻村工作经费与上年一致，无差异。</w:t>
      </w:r>
    </w:p>
    <w:p>
      <w:pPr>
        <w:spacing w:line="580" w:lineRule="exact"/>
        <w:ind w:firstLine="640"/>
        <w:jc w:val="both"/>
      </w:pPr>
      <w:r>
        <w:rPr>
          <w:rFonts w:ascii="仿宋_GB2312" w:hAnsi="仿宋_GB2312" w:eastAsia="仿宋_GB2312"/>
          <w:b w:val="0"/>
          <w:sz w:val="32"/>
        </w:rPr>
        <w:t>11.住房保障支出(类)住房改革支出(款)住房公积金(项):支出决算数为215.12万元，比上年决算增加24.09万元，增长12.61%,主要原因是：本年在职人员工资基数调增，公积金缴费基数上涨，相应支出增加。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2024年度一般公共预算财政拨款基本支出8,281.37万元，其中：</w:t>
      </w:r>
      <w:r>
        <w:rPr>
          <w:rFonts w:ascii="仿宋_GB2312" w:hAnsi="仿宋_GB2312" w:eastAsia="仿宋_GB2312"/>
          <w:b/>
          <w:sz w:val="32"/>
        </w:rPr>
        <w:t>人员经费7,773.58万元，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公用经费507.78万元，</w:t>
      </w:r>
      <w:r>
        <w:rPr>
          <w:rFonts w:ascii="仿宋_GB2312" w:hAnsi="仿宋_GB2312" w:eastAsia="仿宋_GB2312"/>
          <w:b w:val="0"/>
          <w:sz w:val="32"/>
        </w:rPr>
        <w:t>包括：办公费、手续费、水费、电费、邮电费、取暖费、物业管理费、差旅费、维修（护）费、培训费、专用材料费、劳务费、工会经费、福利费、公务用车运行维护费、其他交通费用、其他商品和服务支出、办公设备购置、专用设备购置、公务用车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2024年度财政拨款“三公”经费支出215.84万元，</w:t>
      </w:r>
      <w:r>
        <w:rPr>
          <w:rFonts w:ascii="仿宋_GB2312" w:hAnsi="仿宋_GB2312" w:eastAsia="仿宋_GB2312"/>
          <w:b w:val="0"/>
          <w:sz w:val="32"/>
        </w:rPr>
        <w:t>比上年增加14.33万元，增长7.11%，主要原因是：一是2024年各类</w:t>
      </w:r>
      <w:r>
        <w:rPr>
          <w:rFonts w:hint="eastAsia" w:ascii="仿宋_GB2312" w:hAnsi="仿宋_GB2312" w:eastAsia="仿宋_GB2312"/>
          <w:b w:val="0"/>
          <w:sz w:val="32"/>
          <w:lang w:eastAsia="zh-CN"/>
        </w:rPr>
        <w:t>特殊勤务</w:t>
      </w:r>
      <w:r>
        <w:rPr>
          <w:rFonts w:ascii="仿宋_GB2312" w:hAnsi="仿宋_GB2312" w:eastAsia="仿宋_GB2312"/>
          <w:b w:val="0"/>
          <w:sz w:val="32"/>
        </w:rPr>
        <w:t>增加，车辆运行维护费增加；二是老旧车辆维修保养成本增加。其中：因公出国（境）费支出0.00万元，占0.00%，比上年增加0.00万元，增长0.00%，主要原因是：2023年与2024年均未安排因公出国（境）费支出。公务用车购置及运行维护费支出215.84万元，占100.00%，比上年增加14.33万元，增长7.11%，主要原因是：一是2024年各类</w:t>
      </w:r>
      <w:r>
        <w:rPr>
          <w:rFonts w:hint="eastAsia" w:ascii="仿宋_GB2312" w:hAnsi="仿宋_GB2312" w:eastAsia="仿宋_GB2312"/>
          <w:b w:val="0"/>
          <w:sz w:val="32"/>
          <w:lang w:eastAsia="zh-CN"/>
        </w:rPr>
        <w:t>特殊勤务</w:t>
      </w:r>
      <w:r>
        <w:rPr>
          <w:rFonts w:ascii="仿宋_GB2312" w:hAnsi="仿宋_GB2312" w:eastAsia="仿宋_GB2312"/>
          <w:b w:val="0"/>
          <w:sz w:val="32"/>
        </w:rPr>
        <w:t>增加，车辆运行维护费增加；二是老旧车辆维修保养成本增加。公务接待费支出0.00万元，占0.00%，比上年增加0.00万元，增长0.00%，主要原因是：2023年与2024年均未安排公务接待费支出。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215.84万元，其中：公务用车购置费5.02万元，公务用车运行维护费210.82万元。公务用车运行维护费开支内容包括车辆燃油费、维修费、保险费、审验费等。公务用车购置数0辆，公务用车保有量132辆。国有资产占用情况中固定资产车辆132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215.84万元，决算数215.84万元，预决算差异率0.00%，主要原因是：严格按照预算执行，预决算无差异。其中：因公出国（境）费全年预算数0.00万元，决算数0.00万元，预决算差异率0.00%，主要原因是：本单位无因公出国（境）费。公务用车购置费全年预算数5.02万元，决算数5.02万元，预决算差异率0.00%，主要原因是：严格按照预算执行，预决算无差异。公务用车运行维护费全年预算数210.82万元，决算数210.82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2024年度裕民县公安局（行政单位和参照公务员法管理事业单位）机关运行经费支出507.78万元，比上年增加11.15万元，增长2.25%，主要原因是：2024年各类</w:t>
      </w:r>
      <w:r>
        <w:rPr>
          <w:rFonts w:hint="eastAsia" w:ascii="仿宋_GB2312" w:hAnsi="仿宋_GB2312" w:eastAsia="仿宋_GB2312"/>
          <w:b w:val="0"/>
          <w:sz w:val="32"/>
          <w:lang w:eastAsia="zh-CN"/>
        </w:rPr>
        <w:t>特殊勤务</w:t>
      </w:r>
      <w:r>
        <w:rPr>
          <w:rFonts w:ascii="仿宋_GB2312" w:hAnsi="仿宋_GB2312" w:eastAsia="仿宋_GB2312"/>
          <w:b w:val="0"/>
          <w:sz w:val="32"/>
        </w:rPr>
        <w:t>增加，车辆运行维护费增加。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2024年度政府采购支出总额431.16万元，其中：政府采购货物支出203.27万元、政府采购工程支出0.00万元、政府采购服务支出227.89万元。</w:t>
      </w:r>
    </w:p>
    <w:p>
      <w:pPr>
        <w:spacing w:line="580" w:lineRule="exact"/>
        <w:ind w:firstLine="640"/>
        <w:jc w:val="both"/>
      </w:pPr>
      <w:r>
        <w:rPr>
          <w:rFonts w:ascii="仿宋_GB2312" w:hAnsi="仿宋_GB2312" w:eastAsia="仿宋_GB2312"/>
          <w:b w:val="0"/>
          <w:sz w:val="32"/>
        </w:rPr>
        <w:t>授予中小企业合同金额431.16万元，占政府采购支出总额的100.00%，其中：授予小微企业合同金额431.16万元，占政府采购支出总额的100.00%。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35,589.29平方米，价值10,136.56万元。车辆132辆，价值1,538.09万元，其中：副部（省）级及以上领导用车0辆、主要负责人用车0辆、机要通信用车0辆、应急保障用车0辆、执法执勤用车120辆、特种专业技术用车10辆、离退休干部服务用车0辆、其他用车2辆，其他用车主要是：东风牌皮卡车和多用途乘用车，用于运输警犬。单价100万元（含）以上设备（不含车辆）12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9,447.74万元，实际执行总额8,957.67万元；预算绩效评价项目0个，全年预算数0.00万元，全年执行数0.00万元。预算绩效管理取得的成效：本单位预算绩效项目涉密不予公开。发现的问题及原因：本单位预算绩效项目涉密不予公开。下一步改进措施：本单位预算绩效项目涉密不予公开。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裕民县公安局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9,447.74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8,957.67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8,440.81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ascii="宋体" w:hAnsi="宋体" w:eastAsia="宋体"/>
                <w:sz w:val="16"/>
              </w:rPr>
            </w:pPr>
            <w:r>
              <w:rPr>
                <w:rFonts w:ascii="宋体" w:hAnsi="宋体" w:eastAsia="宋体"/>
                <w:sz w:val="16"/>
              </w:rPr>
              <w:t>目标1：民警、事业编、退休人员、其他人员及西部志愿者工资、社保按时、足额发放，稳定队伍；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目标2：2024年按照</w:t>
            </w:r>
            <w:r>
              <w:rPr>
                <w:rFonts w:hint="eastAsia" w:ascii="宋体" w:hAnsi="宋体"/>
                <w:sz w:val="16"/>
                <w:lang w:val="en-US" w:eastAsia="zh-CN"/>
              </w:rPr>
              <w:t>上级公安机关</w:t>
            </w:r>
            <w:r>
              <w:rPr>
                <w:rFonts w:ascii="宋体" w:hAnsi="宋体" w:eastAsia="宋体"/>
                <w:sz w:val="16"/>
              </w:rPr>
              <w:t>安排部署的重点工作、持续做好打击违法犯罪、推进一窗通办、打击电信诈骗</w:t>
            </w:r>
            <w:r>
              <w:rPr>
                <w:rFonts w:hint="eastAsia" w:ascii="宋体" w:hAnsi="宋体"/>
                <w:sz w:val="16"/>
                <w:lang w:val="en-US" w:eastAsia="zh-CN"/>
              </w:rPr>
              <w:t>等</w:t>
            </w:r>
            <w:r>
              <w:rPr>
                <w:rFonts w:ascii="宋体" w:hAnsi="宋体" w:eastAsia="宋体"/>
                <w:sz w:val="16"/>
              </w:rPr>
              <w:t>公安业务工作，确保日常公用经费足额、按时拨付，用以保障公安业务日常运行；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目标3：2024年根据业务实际开展重点装备建设，加大警用装备建设支出，实施科技强警战略，提高基层执法部门装备建设水平，提高一窗通办水平，改善基层执勤执法装备、设备。</w:t>
            </w:r>
          </w:p>
          <w:p>
            <w:pPr>
              <w:jc w:val="both"/>
              <w:rPr>
                <w:rFonts w:ascii="宋体" w:hAnsi="宋体" w:eastAsia="宋体"/>
                <w:sz w:val="16"/>
              </w:rPr>
            </w:pP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公安局高忠诚践行对党忠诚、服务人民、执法公正、纪律严明总要求，着力打造“四个铁一般”的过硬铁军，以防范化解重大风险为目标、以立体化社会治安防控体系建设为动力，聚焦主责主业、严厉打击各类突出违法犯罪，主动担当作为，有力维护了辖区社会治安稳定</w:t>
            </w:r>
            <w:r>
              <w:rPr>
                <w:rFonts w:hint="eastAsia" w:ascii="宋体" w:hAnsi="宋体"/>
                <w:sz w:val="16"/>
                <w:lang w:eastAsia="zh-CN"/>
              </w:rPr>
              <w:t>，</w:t>
            </w:r>
            <w:r>
              <w:rPr>
                <w:rFonts w:ascii="宋体" w:hAnsi="宋体" w:eastAsia="宋体"/>
                <w:sz w:val="16"/>
              </w:rPr>
              <w:t>圆满完成了系列活动安保</w:t>
            </w:r>
            <w:r>
              <w:rPr>
                <w:rFonts w:hint="eastAsia" w:ascii="宋体" w:hAnsi="宋体"/>
                <w:sz w:val="16"/>
                <w:lang w:val="en-US" w:eastAsia="zh-CN"/>
              </w:rPr>
              <w:t>任务</w:t>
            </w:r>
            <w:r>
              <w:rPr>
                <w:rFonts w:ascii="宋体" w:hAnsi="宋体" w:eastAsia="宋体"/>
                <w:sz w:val="16"/>
              </w:rPr>
              <w:t>。完成了民警、事业编、退休人员、其他人员及西部志愿者工资、社保每月按时、足额发放，稳定队伍；2024年按照</w:t>
            </w:r>
            <w:r>
              <w:rPr>
                <w:rFonts w:hint="eastAsia" w:ascii="宋体" w:hAnsi="宋体"/>
                <w:sz w:val="16"/>
                <w:lang w:val="en-US" w:eastAsia="zh-CN"/>
              </w:rPr>
              <w:t>上级公安机关</w:t>
            </w:r>
            <w:r>
              <w:rPr>
                <w:rFonts w:ascii="宋体" w:hAnsi="宋体" w:eastAsia="宋体"/>
                <w:sz w:val="16"/>
              </w:rPr>
              <w:t>安排部署的重点工作、持续做好打击违法犯罪、推进一窗通办、打击电信诈骗公安业务工作，确保日常公用经费足额、按时拨付，用以保障公安业务日常运行；2024年根据业务实际开展重点装备建设，加大警用装备建设支出，实施科技强警战略，提高基层执法部门装备建设水平，提高一窗通办水平，改善基层执勤执法装备、设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2024年预算编制人员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装备设备购置数量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2024年政府采购计划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处理违法、犯罪行为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公安机关办案规定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受理案件及时性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公安机关受理案件规定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装备、设备采购及时性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2024年装备采购计划实施方案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财政规定的序时进度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装备设备验收合格率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2024年装备采购计划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综合破案率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lang w:val="en-US"/>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公安机关办案相关规定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lang w:val="en-US"/>
              </w:rPr>
            </w:pP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qb信息搜集覆盖率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qb信息相关规定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bookmarkStart w:id="0" w:name="_GoBack"/>
      <w:bookmarkEnd w:id="0"/>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本年本单位SM项目8个，全年预算数615.12万元，全年执行数615.12万元。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ZTE0YjA0ZGZlMWUyYThmMmNiM2E1MDdkNTkyNDE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A7ACA"/>
    <w:rsid w:val="5AFC6609"/>
    <w:rsid w:val="5FA17648"/>
    <w:rsid w:val="5FD320BD"/>
    <w:rsid w:val="60DE4D57"/>
    <w:rsid w:val="613409CB"/>
    <w:rsid w:val="61A46A97"/>
    <w:rsid w:val="62DD7D21"/>
    <w:rsid w:val="65D97752"/>
    <w:rsid w:val="664C500C"/>
    <w:rsid w:val="67D111AB"/>
    <w:rsid w:val="68DB0208"/>
    <w:rsid w:val="68DF36D5"/>
    <w:rsid w:val="69846A0E"/>
    <w:rsid w:val="69AD798C"/>
    <w:rsid w:val="6AF759EF"/>
    <w:rsid w:val="6B68175F"/>
    <w:rsid w:val="6B8B5C99"/>
    <w:rsid w:val="6CA7198F"/>
    <w:rsid w:val="6D8919A8"/>
    <w:rsid w:val="6E0F7A08"/>
    <w:rsid w:val="6E801ABC"/>
    <w:rsid w:val="6FA04299"/>
    <w:rsid w:val="71473612"/>
    <w:rsid w:val="718F7F65"/>
    <w:rsid w:val="73423603"/>
    <w:rsid w:val="737A5923"/>
    <w:rsid w:val="73DE4104"/>
    <w:rsid w:val="73FB6630"/>
    <w:rsid w:val="74CE04EC"/>
    <w:rsid w:val="74E76DCD"/>
    <w:rsid w:val="75A611A0"/>
    <w:rsid w:val="76660D7C"/>
    <w:rsid w:val="77ED6F44"/>
    <w:rsid w:val="795A0A34"/>
    <w:rsid w:val="7A0D3BC7"/>
    <w:rsid w:val="7A3A3CDB"/>
    <w:rsid w:val="7AFB1916"/>
    <w:rsid w:val="7E0648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6568</Words>
  <Characters>7600</Characters>
  <Lines>0</Lines>
  <Paragraphs>0</Paragraphs>
  <TotalTime>21</TotalTime>
  <ScaleCrop>false</ScaleCrop>
  <LinksUpToDate>false</LinksUpToDate>
  <CharactersWithSpaces>7610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2025-09-30T03:51:42Z</cp:lastPrinted>
  <dcterms:modified xsi:type="dcterms:W3CDTF">2025-09-30T04:11:01Z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