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jc w:val="left"/>
        <w:rPr>
          <w:rFonts w:hint="eastAsia" w:ascii="黑体" w:hAnsi="黑体" w:eastAsia="黑体" w:cs="宋体"/>
          <w:color w:val="333333"/>
          <w:sz w:val="32"/>
          <w:szCs w:val="32"/>
        </w:rPr>
      </w:pPr>
      <w:r>
        <w:rPr>
          <w:rFonts w:hint="eastAsia" w:ascii="黑体" w:hAnsi="黑体" w:eastAsia="黑体" w:cs="宋体"/>
          <w:color w:val="333333"/>
          <w:sz w:val="32"/>
          <w:szCs w:val="32"/>
        </w:rPr>
        <w:t>附件4：</w:t>
      </w: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hint="eastAsia" w:ascii="华文中宋" w:hAnsi="华文中宋" w:eastAsia="华文中宋" w:cs="宋体"/>
          <w:b/>
          <w:kern w:val="0"/>
          <w:sz w:val="52"/>
          <w:szCs w:val="52"/>
        </w:rPr>
      </w:pPr>
    </w:p>
    <w:p>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jc w:val="center"/>
        <w:rPr>
          <w:rFonts w:hint="eastAsia" w:hAnsi="宋体" w:eastAsia="仿宋_GB2312" w:cs="宋体"/>
          <w:kern w:val="0"/>
          <w:sz w:val="30"/>
          <w:szCs w:val="30"/>
        </w:rPr>
      </w:pPr>
    </w:p>
    <w:p>
      <w:pPr>
        <w:spacing w:line="540" w:lineRule="exact"/>
        <w:rPr>
          <w:rFonts w:hint="eastAsia" w:hAnsi="宋体" w:eastAsia="仿宋_GB2312" w:cs="宋体"/>
          <w:kern w:val="0"/>
          <w:sz w:val="30"/>
          <w:szCs w:val="30"/>
        </w:rPr>
      </w:pPr>
    </w:p>
    <w:p>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基本概况</w:t>
      </w:r>
    </w:p>
    <w:p>
      <w:pPr>
        <w:snapToGrid w:val="0"/>
        <w:spacing w:line="540" w:lineRule="exact"/>
        <w:ind w:left="993"/>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w:t>
      </w:r>
      <w:bookmarkStart w:id="0" w:name="_Hlk199153249"/>
      <w:r>
        <w:rPr>
          <w:rStyle w:val="8"/>
          <w:rFonts w:hint="eastAsia" w:ascii="楷体" w:hAnsi="楷体" w:eastAsia="楷体" w:cs="楷体"/>
          <w:b w:val="0"/>
          <w:spacing w:val="-4"/>
          <w:sz w:val="32"/>
          <w:szCs w:val="32"/>
        </w:rPr>
        <w:t>一)</w:t>
      </w:r>
      <w:bookmarkEnd w:id="0"/>
      <w:r>
        <w:rPr>
          <w:rFonts w:hint="eastAsia" w:ascii="黑体" w:hAnsi="黑体" w:eastAsia="黑体" w:cs="宋体"/>
          <w:bCs/>
          <w:color w:val="333333"/>
          <w:sz w:val="32"/>
          <w:szCs w:val="32"/>
        </w:rPr>
        <w:t>部门单位基本情况: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裕民县供销合作社的主要职能是：</w:t>
      </w:r>
      <w:r>
        <w:rPr>
          <w:rFonts w:hint="eastAsia" w:ascii="仿宋_GB2312" w:hAnsi="宋体" w:eastAsia="仿宋_GB2312"/>
          <w:b/>
          <w:sz w:val="32"/>
          <w:szCs w:val="32"/>
        </w:rPr>
        <w:br w:type="textWrapping"/>
      </w:r>
      <w:r>
        <w:rPr>
          <w:rFonts w:hint="eastAsia" w:ascii="仿宋_GB2312" w:hAnsi="宋体" w:eastAsia="仿宋_GB2312"/>
          <w:b/>
          <w:sz w:val="32"/>
          <w:szCs w:val="32"/>
        </w:rPr>
        <w:t>（一）制定本社的发展战略和发展规划，指导社属企业的改革和发展，建立和完善为农业社会化服务的体系，强化为农服务功能。</w:t>
      </w:r>
      <w:r>
        <w:rPr>
          <w:rFonts w:hint="eastAsia" w:ascii="仿宋_GB2312" w:hAnsi="宋体" w:eastAsia="仿宋_GB2312"/>
          <w:b/>
          <w:sz w:val="32"/>
          <w:szCs w:val="32"/>
        </w:rPr>
        <w:br w:type="textWrapping"/>
      </w:r>
      <w:r>
        <w:rPr>
          <w:rFonts w:hint="eastAsia" w:ascii="仿宋_GB2312" w:hAnsi="宋体" w:eastAsia="仿宋_GB2312"/>
          <w:b/>
          <w:sz w:val="32"/>
          <w:szCs w:val="32"/>
        </w:rPr>
        <w:t>（二）宣传党和政府有关农村经济的方针、政策；向县委、县政府和有关部门反映农民的合理要求，协调与政府有关部门及其他社会组织的关系，提出有关发展合作社事业的政策建议，维护供销合作社的合法权益。</w:t>
      </w:r>
      <w:r>
        <w:rPr>
          <w:rFonts w:hint="eastAsia" w:ascii="仿宋_GB2312" w:hAnsi="宋体" w:eastAsia="仿宋_GB2312"/>
          <w:b/>
          <w:sz w:val="32"/>
          <w:szCs w:val="32"/>
        </w:rPr>
        <w:br w:type="textWrapping"/>
      </w:r>
      <w:r>
        <w:rPr>
          <w:rFonts w:hint="eastAsia" w:ascii="仿宋_GB2312" w:hAnsi="宋体" w:eastAsia="仿宋_GB2312"/>
          <w:b/>
          <w:sz w:val="32"/>
          <w:szCs w:val="32"/>
        </w:rPr>
        <w:t>（三）引领社属企业对本县的农副产品、农业生产资料经营，促进城乡一体化，农业产业化进程，引导农民有组织进入市场。</w:t>
      </w:r>
      <w:r>
        <w:rPr>
          <w:rFonts w:hint="eastAsia" w:ascii="仿宋_GB2312" w:hAnsi="宋体" w:eastAsia="仿宋_GB2312"/>
          <w:b/>
          <w:sz w:val="32"/>
          <w:szCs w:val="32"/>
        </w:rPr>
        <w:br w:type="textWrapping"/>
      </w:r>
      <w:r>
        <w:rPr>
          <w:rFonts w:hint="eastAsia" w:ascii="仿宋_GB2312" w:hAnsi="宋体" w:eastAsia="仿宋_GB2312"/>
          <w:b/>
          <w:sz w:val="32"/>
          <w:szCs w:val="32"/>
        </w:rPr>
        <w:t>（四）管理社属企业的组织、队伍建设，指导本系统人才资源开发，不断提高职工队伍素质，贯彻民主办社的原则，加强系统自身组织联合与合作。</w:t>
      </w:r>
      <w:r>
        <w:rPr>
          <w:rFonts w:hint="eastAsia" w:ascii="仿宋_GB2312" w:hAnsi="宋体" w:eastAsia="仿宋_GB2312"/>
          <w:b/>
          <w:sz w:val="32"/>
          <w:szCs w:val="32"/>
        </w:rPr>
        <w:br w:type="textWrapping"/>
      </w:r>
      <w:r>
        <w:rPr>
          <w:rFonts w:hint="eastAsia" w:ascii="仿宋_GB2312" w:hAnsi="宋体" w:eastAsia="仿宋_GB2312"/>
          <w:b/>
          <w:sz w:val="32"/>
          <w:szCs w:val="32"/>
        </w:rPr>
        <w:t>（五）负责深化供销合作社综合改革，经营管理本社社有资产，确保社有资产的保值增值。</w:t>
      </w:r>
      <w:r>
        <w:rPr>
          <w:rFonts w:hint="eastAsia" w:ascii="仿宋_GB2312" w:hAnsi="宋体" w:eastAsia="仿宋_GB2312"/>
          <w:b/>
          <w:sz w:val="32"/>
          <w:szCs w:val="32"/>
        </w:rPr>
        <w:br w:type="textWrapping"/>
      </w:r>
      <w:r>
        <w:rPr>
          <w:rFonts w:hint="eastAsia" w:ascii="仿宋_GB2312" w:hAnsi="宋体" w:eastAsia="仿宋_GB2312"/>
          <w:b/>
          <w:sz w:val="32"/>
          <w:szCs w:val="32"/>
        </w:rPr>
        <w:t>（六）推动本系统参与社会主义新农村建设，加强农村现代流通体系建设，整合网络资源,引领本系统开展以连锁经营为主的经营业态创新和经营网络改造工作。</w:t>
      </w:r>
      <w:r>
        <w:rPr>
          <w:rFonts w:hint="eastAsia" w:ascii="仿宋_GB2312" w:hAnsi="宋体" w:eastAsia="仿宋_GB2312"/>
          <w:b/>
          <w:sz w:val="32"/>
          <w:szCs w:val="32"/>
        </w:rPr>
        <w:br w:type="textWrapping"/>
      </w:r>
      <w:r>
        <w:rPr>
          <w:rFonts w:hint="eastAsia" w:ascii="仿宋_GB2312" w:hAnsi="宋体" w:eastAsia="仿宋_GB2312"/>
          <w:b/>
          <w:sz w:val="32"/>
          <w:szCs w:val="32"/>
        </w:rPr>
        <w:t>（七）承办县委和政府交办的其他事项。</w:t>
      </w:r>
      <w:r>
        <w:rPr>
          <w:rFonts w:hint="eastAsia" w:ascii="仿宋_GB2312" w:hAnsi="宋体" w:eastAsia="仿宋_GB2312"/>
          <w:b/>
          <w:sz w:val="32"/>
          <w:szCs w:val="32"/>
        </w:rPr>
        <w:br w:type="textWrapping"/>
      </w:r>
      <w:r>
        <w:rPr>
          <w:rFonts w:hint="eastAsia" w:ascii="仿宋_GB2312" w:hAnsi="宋体" w:eastAsia="仿宋_GB2312"/>
          <w:b/>
          <w:sz w:val="32"/>
          <w:szCs w:val="32"/>
        </w:rPr>
        <w:t>2.机构设置及人员情况</w:t>
      </w:r>
      <w:r>
        <w:rPr>
          <w:rFonts w:hint="eastAsia" w:ascii="仿宋_GB2312" w:hAnsi="宋体" w:eastAsia="仿宋_GB2312"/>
          <w:b/>
          <w:sz w:val="32"/>
          <w:szCs w:val="32"/>
        </w:rPr>
        <w:br w:type="textWrapping"/>
      </w:r>
      <w:r>
        <w:rPr>
          <w:rFonts w:hint="eastAsia" w:ascii="仿宋_GB2312" w:hAnsi="宋体" w:eastAsia="仿宋_GB2312"/>
          <w:b/>
          <w:sz w:val="32"/>
          <w:szCs w:val="32"/>
        </w:rPr>
        <w:t>裕民县供销合作社联合社包括本级机关及0个直属事业单位，机关内设2个科室：办公室、财务室。</w:t>
      </w:r>
      <w:r>
        <w:rPr>
          <w:rFonts w:hint="eastAsia" w:ascii="仿宋_GB2312" w:hAnsi="宋体" w:eastAsia="仿宋_GB2312"/>
          <w:b/>
          <w:sz w:val="32"/>
          <w:szCs w:val="32"/>
        </w:rPr>
        <w:br w:type="textWrapping"/>
      </w:r>
      <w:r>
        <w:rPr>
          <w:rFonts w:hint="eastAsia" w:ascii="仿宋_GB2312" w:hAnsi="宋体" w:eastAsia="仿宋_GB2312"/>
          <w:b/>
          <w:sz w:val="32"/>
          <w:szCs w:val="32"/>
        </w:rPr>
        <w:t>裕民县供销合作社联合社编制数6，实有人数18人，其中：在职7人，增加1人；退休11人，增加（减少）0人；离休0人，增加（减少）0人。</w:t>
      </w:r>
      <w:bookmarkStart w:id="1" w:name="_Hlk43849111"/>
      <w:bookmarkEnd w:id="1"/>
    </w:p>
    <w:p>
      <w:pPr>
        <w:spacing w:line="600" w:lineRule="exact"/>
        <w:ind w:firstLine="992" w:firstLineChars="318"/>
        <w:jc w:val="left"/>
        <w:rPr>
          <w:rFonts w:hint="eastAsia" w:ascii="黑体" w:hAnsi="黑体" w:eastAsia="黑体" w:cs="宋体"/>
          <w:bCs/>
          <w:color w:val="333333"/>
          <w:sz w:val="32"/>
          <w:szCs w:val="32"/>
        </w:rPr>
      </w:pPr>
      <w:r>
        <w:rPr>
          <w:rStyle w:val="8"/>
          <w:rFonts w:hint="eastAsia" w:ascii="楷体" w:hAnsi="楷体" w:eastAsia="楷体" w:cs="楷体"/>
          <w:b w:val="0"/>
          <w:spacing w:val="-4"/>
          <w:sz w:val="32"/>
          <w:szCs w:val="32"/>
        </w:rPr>
        <w:t>(二)</w:t>
      </w:r>
      <w:r>
        <w:rPr>
          <w:rFonts w:hint="eastAsia" w:ascii="黑体" w:hAnsi="黑体" w:eastAsia="黑体" w:cs="宋体"/>
          <w:bCs/>
          <w:color w:val="333333"/>
          <w:sz w:val="32"/>
          <w:szCs w:val="32"/>
        </w:rPr>
        <w:t>部门单位年度重点工作：</w:t>
      </w:r>
    </w:p>
    <w:p>
      <w:pPr>
        <w:spacing w:line="600" w:lineRule="exact"/>
        <w:ind w:left="1273" w:leftChars="606" w:firstLine="2"/>
        <w:jc w:val="left"/>
        <w:rPr>
          <w:rFonts w:hint="eastAsia" w:ascii="仿宋_GB2312" w:hAnsi="宋体" w:eastAsia="仿宋_GB2312"/>
          <w:b/>
          <w:sz w:val="32"/>
          <w:szCs w:val="32"/>
        </w:rPr>
      </w:pPr>
      <w:r>
        <w:rPr>
          <w:rFonts w:hint="eastAsia" w:ascii="仿宋_GB2312" w:hAnsi="宋体" w:eastAsia="仿宋_GB2312"/>
          <w:b/>
          <w:sz w:val="32"/>
          <w:szCs w:val="32"/>
        </w:rPr>
        <w:t>1.年度总体目标</w:t>
      </w:r>
      <w:r>
        <w:rPr>
          <w:rFonts w:hint="eastAsia" w:ascii="仿宋_GB2312" w:hAnsi="宋体" w:eastAsia="仿宋_GB2312"/>
          <w:b/>
          <w:sz w:val="32"/>
          <w:szCs w:val="32"/>
        </w:rPr>
        <w:br w:type="textWrapping"/>
      </w:r>
      <w:r>
        <w:rPr>
          <w:rFonts w:hint="eastAsia" w:ascii="仿宋_GB2312" w:hAnsi="宋体" w:eastAsia="仿宋_GB2312"/>
          <w:b/>
          <w:sz w:val="32"/>
          <w:szCs w:val="32"/>
        </w:rPr>
        <w:t>(1)贯彻执行中央、自治区关于农村经济工作和社会发展的方针、政策，研究制定县供销社的发展战略和发展规划，参与有关政策的制定，对社属企业进行指导、协调、监督、服务。(2)参与和推动农业产业化经营，负责全县农业产业化发展指导，积极培植龙头企业；指导农村专业合作社的经营，强化为农服务功能。(3)指导社属公司的改革和发展，切实履行农村合作经济组织、引导、服务职能，在组织管理经营上实行开门办社，指导农村合作经济的健康发展。(4)建立和完善农业社会服务体系，做好为“农业、农村、农民”的服务工作。</w:t>
      </w:r>
      <w:r>
        <w:rPr>
          <w:rFonts w:hint="eastAsia" w:ascii="仿宋_GB2312" w:hAnsi="宋体" w:eastAsia="仿宋_GB2312"/>
          <w:b/>
          <w:sz w:val="32"/>
          <w:szCs w:val="32"/>
        </w:rPr>
        <w:br w:type="textWrapping"/>
      </w:r>
      <w:r>
        <w:rPr>
          <w:rFonts w:hint="eastAsia" w:ascii="仿宋_GB2312" w:hAnsi="宋体" w:eastAsia="仿宋_GB2312"/>
          <w:b/>
          <w:sz w:val="32"/>
          <w:szCs w:val="32"/>
        </w:rPr>
        <w:t>2.重点工作计划</w:t>
      </w:r>
      <w:r>
        <w:rPr>
          <w:rFonts w:hint="eastAsia" w:ascii="仿宋_GB2312" w:hAnsi="宋体" w:eastAsia="仿宋_GB2312"/>
          <w:b/>
          <w:sz w:val="32"/>
          <w:szCs w:val="32"/>
        </w:rPr>
        <w:br w:type="textWrapping"/>
      </w:r>
      <w:r>
        <w:rPr>
          <w:rFonts w:hint="eastAsia" w:ascii="仿宋_GB2312" w:hAnsi="宋体" w:eastAsia="仿宋_GB2312"/>
          <w:b/>
          <w:sz w:val="32"/>
          <w:szCs w:val="32"/>
        </w:rPr>
        <w:t>一是以政治建设为先导，抓好全面从严治社。一是坚持把学习贯彻习近平新时代中国特色社会主义思想作为首要政治任务，作为党的会议的“第一议题”，作为理论学习的首要内容。充分运用“学习强国”“远程教育”“法宣在线”“党员干部网络学院”等</w:t>
      </w:r>
      <w:bookmarkStart w:id="2" w:name="_GoBack"/>
      <w:bookmarkEnd w:id="2"/>
      <w:r>
        <w:rPr>
          <w:rFonts w:hint="eastAsia" w:ascii="仿宋_GB2312" w:hAnsi="宋体" w:eastAsia="仿宋_GB2312"/>
          <w:b/>
          <w:sz w:val="32"/>
          <w:szCs w:val="32"/>
        </w:rPr>
        <w:t>学习平台，组织学习习近平新时代中国特色社会主义思想、党的二十大和二十届三中全会精神、《中国共产党纪律处分条例》等内容，召开理论学习中心组会议8次、开展集中学习40次，举办党纪学题教育读书班2期，组织集中交流研讨4次，落实“第一议题”制度70余次。二是将深化干部作风建设工作与党纪学习教育、集中整治群众身边不正之风和腐败问题、整治形式主义、为基层减负等工作贯通起来，不断深化警示教育，召开党风廉政建设工作会议2次，开展节前廉政教育6次、集体廉政教育谈话7次，开展领导干部任前谈话1次、年轻干部廉政谈话1次，打卡“教育基地”3次、观看警示教育片10次；组织开展廉洁风险点排查治理，排查隐患风险点6人次；严格落实“三重一大”决策制度和请示报告制度，召开“三重一大”会议13次。三是严肃党内政治生活，规范党员管理，认真落实“三会一课”制度，召开支部党员大会21次，组织讲党课3次，开展主题党日9次、民主评议党员1次，进一步规范党内政治生活；加强党员队伍建设，严格党员发展制度，做好新党员发展工作，吸收了1名入党积极分子；规范党费收缴工作，共收缴党费1973.1元。同时，注重党内关爱工作，节日期间共慰问老干部4人次。四是将党纪学习教育与群众身边不正之风和腐败问题专项整治行动及供销中心工作贯通起来，一体推进、狠抓落实，形成推动供销高质量发展的强大合力。今年以来，组织6名在职党员党员主动认领社区服务岗位，实现居民“微心愿” 15余件，解决群众困难诉求8件，开展党员践承诺7人次；发挥党建引领，结合精神文明、乡村振兴、移风易俗、安全生产等工作，因地制宜开展各类学习宣传宣讲活动15次，开展各类志愿服务20余次。二是扎实开展为农服务，展示供销担当作为。一是依托塔城地区供销合作社联合社，在2024年第八届亚欧博览会期间，为企业（新疆谢利盖畜牧有限责任公司）牵线搭桥，争取免费的商品展位1个；组织企业参加由广东省和自治区商务厅举办的经贸合作交流会；组织企业参加哈密供销社举办的“豫见新疆”农产品交易会，拓宽裕民县特色农产品企业合作交流平台。二是积极与锦州供销合作社对接，在锦州供销合作社下属企业的超市专柜设立裕民县特色农副产品专柜1个，将裕民特色农副产品（巴什拜羊肉、众品农商小麦粉、宏天鼎红花油）放在锦州供销合作社下属企业的超市专柜进行代销。三是自“两新”工作开展以来，组织人员深入基层对开展走访调研工作1次，深入了解本县再生资源回收利用站点情况，积极宣传国家关于“两新”工作的指导精神，同时，依托农资企业设立塑料废旧物回收点1个，回收化肥、种子和农药废弃包装3吨，回收率达90%。三是夯实基层组织基础，全面深化综合改革。一是围绕农业产前、产中、产后各环节，依托中心基层社（新疆西部绿业农资有限责任公司）所在各乡村的农资网点开展农资配送服务19.2万亩；依托领办的向阳花农民专业合作社采用“订单＋入股＋合作＋土地流转＋工厂”的合作运营模式，种植订单作物制酱番茄3000亩以上，带动富余劳动力就业200余人，进一步提升农业社会化服务能力。二是充分发挥县域流通网络枢纽作用，组织指导参股农资企业采取上门对接、电话洽商、微信等渠道方式，开展“点对点”农资直供，减少中间环节，降低流通成本，确保农资到乡进村入店。截至目前，已销售化肥8000吨、农药110万元、种子（玉米）300万元、盐产品440.4吨。三是今年以来，主要领导多次带队深入基层开展调研走访，已通过“挂牌”的方式新建综合服务社2个（吉兰德综合服务社、江格斯北村综合服务社）；通过店面粉刷、更换店牌的方式对吉也克齐村为农服务中心、基层中心社、阿勒腾也木勒村基层社、木乎尔村综合服务社以及阿勒腾也木勒村综合服务社进行升级改造，为村民提供“一站式”综合服务，功能涵盖日用品购销、快递入村及农业生产资料配送等服务。全面深化改革工作已完成地区供销合作社联合社下达任务指标。四是服务中心工作，加强社有资产管理。一是理顺联合社与社有企业的关系，成立全资社有企业（裕民县裕供供销合作社）1个，建立社有资产管理委员会会运营平台1个，并及时调整社有资产管理委员会成员。同时，制定完善《裕民县供销合作社联合社所属社有企业财务管理办法》等规章制度，进一步加强对社有企业的监督管理。二是根据《裕民县供销合作社联合社员工绩效考核管理办法（暂行）》《裕民县供销合作社联合社薪酬管理办法（暂行）》等薪酬管理制度，规范社有企业人员薪酬津贴标准，年初与社有企业负责人签订《经营业绩综合绩效考核责任书》建立有效的激励和约束机制。三是召开裕民县供销合作社联合社第四届理事会第二次全体会议、第四届监事会第二次全体会议，传达学习了相关会议精神，回顾了全系统2023年主要工作，安排部署了2024年重点工作。四是常态化对社有企业、生态羊圈、沿街租赁商铺等全县8处社有房产开展安全隐患排查20余次，对存在的安全隐患立查立改，彻底消除存在的各类安全隐患，把事故隐患消除在萌芽状态。五是防范风险隐患，强化意识形态阵地监管。一是严格落实保密工作要求，组织干部认真学习贯彻有关保密工作法律法规，严格落实各项保密制度，组织召开保密工作会议3次，开展保密安全专题学习6次，组织7名干部职工签订《保密承诺书》，加强对涉密文件、材料、存储介质和计算机的管理，开展保密安全自查3次。目前，全系统未发生失窃密事件。二是根据人员变动，及时调整宣传思想工作和意识形态工作领导小组，召开宣传思想工作领导小组会议1次，召开意识形态专题会2次，切实加强对意识形态领域和宣传思想重大问题和重大任务的研究分析指导；强化对文化传播阵地、网络阵地等意识形态阵地的管理，严格执行“三审三校”制度，捍卫“主阵地”。充分发挥“抖音”“微信视频号”等新媒体平台作用，积极推送本系统工作视频1个。三是加强对本单位正版化软件的监督管理，及时更新正版软件版本。同时，组织人员定期对办公电脑进行全面检查，建立工作台账，确保责任到人，严禁个人擅自更改操作系统，安装来源不明的盗版软件。目前，未发现供销系统内存有安装盗版软件的情况。</w:t>
      </w:r>
    </w:p>
    <w:p>
      <w:pPr>
        <w:snapToGrid w:val="0"/>
        <w:spacing w:line="540" w:lineRule="exact"/>
        <w:ind w:left="993"/>
        <w:rPr>
          <w:rFonts w:hint="eastAsia" w:ascii="黑体" w:hAnsi="黑体" w:eastAsia="黑体" w:cs="宋体"/>
          <w:b/>
          <w:color w:val="333333"/>
          <w:sz w:val="32"/>
          <w:szCs w:val="32"/>
        </w:rPr>
      </w:pPr>
      <w:r>
        <w:rPr>
          <w:rStyle w:val="8"/>
          <w:rFonts w:hint="eastAsia" w:ascii="楷体" w:hAnsi="楷体" w:eastAsia="楷体" w:cs="楷体"/>
          <w:b w:val="0"/>
          <w:spacing w:val="-4"/>
          <w:sz w:val="32"/>
          <w:szCs w:val="32"/>
        </w:rPr>
        <w:t>(三)</w:t>
      </w:r>
      <w:r>
        <w:rPr>
          <w:rFonts w:hint="eastAsia" w:ascii="黑体" w:hAnsi="黑体" w:eastAsia="黑体" w:cs="宋体"/>
          <w:bCs/>
          <w:color w:val="333333"/>
          <w:sz w:val="32"/>
          <w:szCs w:val="32"/>
        </w:rPr>
        <w:t>部门单位整体预算规模及安排情况：</w:t>
      </w:r>
    </w:p>
    <w:p>
      <w:pPr>
        <w:spacing w:line="600" w:lineRule="exact"/>
        <w:ind w:left="1273" w:leftChars="606" w:firstLine="3" w:firstLineChars="1"/>
        <w:jc w:val="left"/>
        <w:rPr>
          <w:rFonts w:hint="eastAsia" w:ascii="仿宋_GB2312" w:hAnsi="宋体" w:eastAsia="仿宋_GB2312"/>
          <w:b/>
          <w:sz w:val="32"/>
          <w:szCs w:val="32"/>
        </w:rPr>
      </w:pPr>
      <w:r>
        <w:rPr>
          <w:rFonts w:hint="eastAsia" w:ascii="仿宋_GB2312" w:hAnsi="宋体" w:eastAsia="仿宋_GB2312"/>
          <w:b/>
          <w:sz w:val="32"/>
          <w:szCs w:val="32"/>
        </w:rPr>
        <w:t>2024年裕民县供销合作社联合社年初预算安排125.75万元，其中财政拨款125.75万元，其他资金0万元，主要用于：7名在职人员的工资、津贴、补贴、社保、绩效、公积金等以及11名离退休人员的工资、医疗费等人员保障性经费能够依规、按时、足额发放或缴纳，提升部门人员工作积极性和服务质量。同时，保障了部门全年正常运转，为部门正常履职和开展综合性事务管理提供有效支撑。年中调整13.69万元，调整后全年预算139.44万元，预算调整率10.89%，调整预算的主要原因为为人员工资调整，2023年度绩效考核工资。</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部门单位整体支出管理及使用情况</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（一）部门单位整体支出管理情况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w:t>
      </w:r>
      <w:r>
        <w:rPr>
          <w:rFonts w:hint="eastAsia" w:ascii="仿宋_GB2312" w:hAnsi="宋体" w:eastAsia="仿宋_GB2312"/>
          <w:b/>
          <w:sz w:val="32"/>
          <w:szCs w:val="32"/>
        </w:rPr>
        <w:br w:type="textWrapping"/>
      </w:r>
      <w:r>
        <w:rPr>
          <w:rFonts w:hint="eastAsia" w:ascii="仿宋_GB2312" w:hAnsi="宋体" w:eastAsia="仿宋_GB2312"/>
          <w:b/>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
          <w:sz w:val="32"/>
          <w:szCs w:val="32"/>
        </w:rPr>
        <w:br w:type="textWrapping"/>
      </w:r>
      <w:r>
        <w:rPr>
          <w:rFonts w:hint="eastAsia" w:ascii="仿宋_GB2312" w:hAnsi="宋体" w:eastAsia="仿宋_GB2312"/>
          <w:b/>
          <w:sz w:val="32"/>
          <w:szCs w:val="32"/>
        </w:rPr>
        <w:t>2.预算执行</w:t>
      </w:r>
      <w:r>
        <w:rPr>
          <w:rFonts w:hint="eastAsia" w:ascii="仿宋_GB2312" w:hAnsi="宋体" w:eastAsia="仿宋_GB2312"/>
          <w:b/>
          <w:sz w:val="32"/>
          <w:szCs w:val="32"/>
        </w:rPr>
        <w:br w:type="textWrapping"/>
      </w:r>
      <w:r>
        <w:rPr>
          <w:rFonts w:hint="eastAsia" w:ascii="仿宋_GB2312" w:hAnsi="宋体" w:eastAsia="仿宋_GB2312"/>
          <w:b/>
          <w:sz w:val="32"/>
          <w:szCs w:val="32"/>
        </w:rPr>
        <w:t>自治区/地区财政批复预算后，我单位按要求及时制定并报批部门预算支出计划，严格落实预算执行定期分析机制，靠前抓好支出执行，坚持严肃财经纪律，硬化预算约束，持续树牢厉行节约理念，严控一般性支出，努力降低事业运行成本。</w:t>
      </w:r>
      <w:r>
        <w:rPr>
          <w:rFonts w:hint="eastAsia" w:ascii="仿宋_GB2312" w:hAnsi="宋体" w:eastAsia="仿宋_GB2312"/>
          <w:b/>
          <w:sz w:val="32"/>
          <w:szCs w:val="32"/>
        </w:rPr>
        <w:br w:type="textWrapping"/>
      </w:r>
      <w:r>
        <w:rPr>
          <w:rFonts w:hint="eastAsia" w:ascii="仿宋_GB2312" w:hAnsi="宋体" w:eastAsia="仿宋_GB2312"/>
          <w:b/>
          <w:sz w:val="32"/>
          <w:szCs w:val="32"/>
        </w:rPr>
        <w:t>3.绩效管理</w:t>
      </w:r>
      <w:r>
        <w:rPr>
          <w:rFonts w:hint="eastAsia" w:ascii="仿宋_GB2312" w:hAnsi="宋体" w:eastAsia="仿宋_GB2312"/>
          <w:b/>
          <w:sz w:val="32"/>
          <w:szCs w:val="32"/>
        </w:rPr>
        <w:br w:type="textWrapping"/>
      </w:r>
      <w:r>
        <w:rPr>
          <w:rFonts w:hint="eastAsia" w:ascii="仿宋_GB2312" w:hAnsi="宋体" w:eastAsia="仿宋_GB2312"/>
          <w:b/>
          <w:sz w:val="32"/>
          <w:szCs w:val="32"/>
        </w:rP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
          <w:sz w:val="32"/>
          <w:szCs w:val="32"/>
        </w:rPr>
        <w:br w:type="textWrapping"/>
      </w:r>
      <w:r>
        <w:rPr>
          <w:rFonts w:hint="eastAsia" w:ascii="仿宋_GB2312" w:hAnsi="宋体" w:eastAsia="仿宋_GB2312"/>
          <w:b/>
          <w:sz w:val="32"/>
          <w:szCs w:val="32"/>
        </w:rPr>
        <w:t>4.信息公开</w:t>
      </w:r>
      <w:r>
        <w:rPr>
          <w:rFonts w:hint="eastAsia" w:ascii="仿宋_GB2312" w:hAnsi="宋体" w:eastAsia="仿宋_GB2312"/>
          <w:b/>
          <w:sz w:val="32"/>
          <w:szCs w:val="32"/>
        </w:rPr>
        <w:br w:type="textWrapping"/>
      </w:r>
      <w:r>
        <w:rPr>
          <w:rFonts w:hint="eastAsia" w:ascii="仿宋_GB2312" w:hAnsi="宋体" w:eastAsia="仿宋_GB2312"/>
          <w:b/>
          <w:sz w:val="32"/>
          <w:szCs w:val="32"/>
        </w:rPr>
        <w:t>我单位已按要求在裕民县人民政府门户网站公开部门预算信息，同步公开绩效目标表；在裕民县人民政府门户网站公开部门决算信息，同步公开自评表及自评报告。</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基本支出139.44万元，包括工资福利支出125.16万元，商品和服务支出6.55万元，对个人和家庭的补助7.73万元，资本性支出0万元。其中：“三公”经费支出0万元，比上年增加（减少）0万元，主要原因是我单位无“三公”经费支出；会议费支出0万元，比上年增加（减少）0万元，主要原因是我单位无此项支出；培训费支出0万元，比上年增加（减少）0万元，主要原因是我单位无此项支出。</w:t>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2.专项资金支出情况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2024年专项项目支出0万元，占总支出的0％。</w:t>
      </w:r>
      <w:r>
        <w:rPr>
          <w:rFonts w:hint="eastAsia" w:ascii="仿宋_GB2312" w:hAnsi="宋体" w:eastAsia="仿宋_GB2312"/>
          <w:b/>
          <w:sz w:val="32"/>
          <w:szCs w:val="32"/>
        </w:rPr>
        <w:br w:type="textWrapping"/>
      </w:r>
      <w:r>
        <w:rPr>
          <w:rFonts w:hint="eastAsia" w:ascii="仿宋_GB2312" w:hAnsi="宋体" w:eastAsia="仿宋_GB2312"/>
          <w:b/>
          <w:sz w:val="32"/>
          <w:szCs w:val="32"/>
        </w:rPr>
        <w:t>3.部门单位专项组织实施情况</w:t>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年初我单位下发的0个专项，对项目的工作分工、任务分配、资金落实、完成时限等提出了明确、具体的要求，以确保项目保质、保量、按时完成。截至2024年12月31日，完成专项0个，未完成专项0个。</w:t>
      </w:r>
    </w:p>
    <w:p>
      <w:pPr>
        <w:numPr>
          <w:ilvl w:val="0"/>
          <w:numId w:val="1"/>
        </w:numPr>
        <w:snapToGrid w:val="0"/>
        <w:spacing w:line="540" w:lineRule="exact"/>
        <w:rPr>
          <w:rFonts w:hint="eastAsia" w:ascii="黑体" w:hAnsi="黑体" w:eastAsia="黑体" w:cs="宋体"/>
          <w:color w:val="333333"/>
          <w:sz w:val="32"/>
          <w:szCs w:val="32"/>
        </w:rPr>
      </w:pPr>
      <w:r>
        <w:rPr>
          <w:rFonts w:ascii="黑体" w:hAnsi="黑体" w:eastAsia="黑体" w:cs="宋体"/>
          <w:color w:val="333333"/>
          <w:sz w:val="32"/>
          <w:szCs w:val="32"/>
        </w:rPr>
        <w:t>部门单位整体支出绩效分析</w:t>
      </w:r>
    </w:p>
    <w:p>
      <w:pPr>
        <w:spacing w:line="600" w:lineRule="exact"/>
        <w:ind w:left="1273" w:leftChars="600" w:hanging="13" w:hangingChars="4"/>
        <w:jc w:val="left"/>
        <w:rPr>
          <w:rFonts w:hint="eastAsia" w:ascii="仿宋_GB2312" w:hAnsi="宋体" w:eastAsia="仿宋_GB2312"/>
          <w:b/>
          <w:sz w:val="32"/>
          <w:szCs w:val="32"/>
        </w:rPr>
      </w:pPr>
      <w:r>
        <w:rPr>
          <w:rFonts w:hint="eastAsia" w:ascii="仿宋_GB2312" w:hAnsi="宋体" w:eastAsia="仿宋_GB2312"/>
          <w:b/>
          <w:sz w:val="32"/>
          <w:szCs w:val="32"/>
        </w:rPr>
        <w:t>（一）预算执行情况分析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2024年裕民县供销合作社联合社总支出139.44万元，预算执行率100%，其中社会保障和就业支出28.79万元，卫生健康支出5.28万元，商业服务业等支出95.68万元，住房保障支出9.68万元。</w:t>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2024年，裕民县供销合作社联合社基本支出139.44万元，占总支出的100％，其中：社会保障和就业支出28.79万元，卫生健康支出5.28万元，商业服务业等支出95.68万元，住房保障支出9.68万元。</w:t>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2.项目支出使用情况</w:t>
      </w:r>
      <w:r>
        <w:rPr>
          <w:rFonts w:hint="eastAsia" w:ascii="仿宋_GB2312" w:hAnsi="宋体" w:eastAsia="仿宋_GB2312"/>
          <w:b/>
          <w:sz w:val="32"/>
          <w:szCs w:val="32"/>
        </w:rPr>
        <w:br w:type="textWrapping"/>
      </w:r>
      <w:r>
        <w:rPr>
          <w:rFonts w:hint="eastAsia" w:ascii="仿宋_GB2312" w:hAnsi="宋体" w:eastAsia="仿宋_GB2312"/>
          <w:b/>
          <w:sz w:val="32"/>
          <w:szCs w:val="32"/>
        </w:rPr>
        <w:t>2024年，裕民县供销合作社联合社项目支出0万元，占总支出的0％。</w:t>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（二）部门单位整体支出绩效指标完成情况分析</w:t>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年初我单位设置部门整体绩效目标中包括一级指标1个二级指标1个，三级指标6个，指标完成情况分析如下：</w:t>
      </w:r>
      <w:r>
        <w:rPr>
          <w:rFonts w:hint="eastAsia" w:ascii="仿宋_GB2312" w:hAnsi="宋体" w:eastAsia="仿宋_GB2312"/>
          <w:b/>
          <w:sz w:val="32"/>
          <w:szCs w:val="32"/>
        </w:rPr>
        <w:br w:type="textWrapping"/>
      </w:r>
      <w:r>
        <w:rPr>
          <w:rFonts w:hint="eastAsia" w:ascii="仿宋_GB2312" w:hAnsi="宋体" w:eastAsia="仿宋_GB2312"/>
          <w:b/>
          <w:sz w:val="32"/>
          <w:szCs w:val="32"/>
        </w:rPr>
        <w:t>1.履职效能</w:t>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br w:type="textWrapping"/>
      </w:r>
      <w:r>
        <w:rPr>
          <w:rFonts w:hint="eastAsia" w:ascii="仿宋_GB2312" w:hAnsi="宋体" w:eastAsia="仿宋_GB2312"/>
          <w:b/>
          <w:sz w:val="32"/>
          <w:szCs w:val="32"/>
        </w:rPr>
        <w:t>指标1：改造升级乡村基层社，指标值：&gt;=1个，年中监控完成值：0，自评完成值：1个，指标完成率100%，偏差0%，偏差原因及改进措施：无偏差，通过完成改造升级乡村基层社工作，有效改善为民服务能力，达到提升供销社为支持“三农”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2：引导成立、改造农村综合服务社，指标值：=2个，年中监控完成值：0，自评完成值：2个，指标完成率100%，偏差0%，偏差原因及改进措施：无偏差，指标成效分析通过完成引导成立、改造农村综合服务社工作，有效提升县级供销社指导作用，达到“点对点”农资直供，减少中间环节，降低流通成本，确保农资到乡进村入店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农资销售稳定供应，指标值：&gt;=0.60万吨，年中监控完成值：0.62万吨，自评完成值：0.8万吨，指标完成率100%，偏差0%，偏差原因及改进措施：无偏差，指标成效分析通过完成保障农资销售稳定供应工作，有效提升农资销售数量，达到助力农业生产发展的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4：农业化生产社会服务亩次，指标值：=300亩/次，年中监控完成值：3000亩/次，自评完成值：3000亩/次，指标完成率100%，偏差0%，偏差原因及改进措施：无偏差，指标成效分析通过完成农业化生产社会服务亩次工作，有效提升农业化生产社会服务亩次数量，达到土地托管、测土配方施肥的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5：规范发展农民专业合作社，指标值：&gt;=1个，年中监控完成值：1个，自评完成值：1个，指标完成率100%，偏差0%，偏差原因及改进措施：无偏差，指标成效分析通过完成规范发展农民专业合作社工作，有效改善农业专业合作社经营模式，达到提升农业社会化服务能力效果。</w:t>
      </w:r>
      <w:r>
        <w:rPr>
          <w:rFonts w:hint="eastAsia" w:ascii="仿宋_GB2312" w:hAnsi="宋体" w:eastAsia="仿宋_GB2312"/>
          <w:b/>
          <w:sz w:val="32"/>
          <w:szCs w:val="32"/>
        </w:rPr>
        <w:br w:type="textWrapping"/>
      </w:r>
      <w:r>
        <w:rPr>
          <w:rFonts w:hint="eastAsia" w:ascii="仿宋_GB2312" w:hAnsi="宋体" w:eastAsia="仿宋_GB2312"/>
          <w:b/>
          <w:sz w:val="32"/>
          <w:szCs w:val="32"/>
        </w:rPr>
        <w:t>指标6：建立社有资产运营管理平台，指标值：&gt;=1个，年中监控完成值：1个，自评完成值：1个，指标完成率100%，偏差0%，偏差原因及改进措施：无偏差，指标成效分析通过完成建立社有资产运营管理平台工作，有效加强了加强社有资产管理，达到提升社有资产服务“三农”能力。</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评价结论</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2024年度部门整体支出绩效评价综合得分100分，评价结果为“优”。</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存在的主要问题及原因分析</w:t>
      </w:r>
    </w:p>
    <w:p>
      <w:pPr>
        <w:spacing w:line="600" w:lineRule="exact"/>
        <w:ind w:left="1276" w:firstLine="13" w:firstLineChars="4"/>
        <w:jc w:val="left"/>
        <w:rPr>
          <w:rFonts w:hint="eastAsia" w:ascii="仿宋_GB2312" w:hAnsi="宋体" w:eastAsia="仿宋_GB2312"/>
          <w:b/>
          <w:sz w:val="32"/>
          <w:szCs w:val="32"/>
        </w:rPr>
      </w:pPr>
      <w:r>
        <w:rPr>
          <w:rFonts w:hint="eastAsia" w:ascii="仿宋_GB2312" w:hAnsi="宋体" w:eastAsia="仿宋_GB2312"/>
          <w:b/>
          <w:sz w:val="32"/>
          <w:szCs w:val="32"/>
        </w:rPr>
        <w:t>（一）绩效指标设置不够明确</w:t>
      </w:r>
      <w:r>
        <w:rPr>
          <w:rFonts w:hint="eastAsia" w:ascii="仿宋_GB2312" w:hAnsi="宋体" w:eastAsia="仿宋_GB2312"/>
          <w:b/>
          <w:sz w:val="32"/>
          <w:szCs w:val="32"/>
        </w:rPr>
        <w:br w:type="textWrapping"/>
      </w:r>
      <w:r>
        <w:rPr>
          <w:rFonts w:hint="eastAsia" w:ascii="仿宋_GB2312" w:hAnsi="宋体" w:eastAsia="仿宋_GB2312"/>
          <w:b/>
          <w:sz w:val="32"/>
          <w:szCs w:val="32"/>
        </w:rPr>
        <w:t>我单位部分绩效指标设定未能够紧密结合我县经济发展特色和乡村振兴实际需求，导致目标空泛，难以有效指导具体工作。</w:t>
      </w:r>
      <w:r>
        <w:rPr>
          <w:rFonts w:hint="eastAsia" w:ascii="仿宋_GB2312" w:hAnsi="宋体" w:eastAsia="仿宋_GB2312"/>
          <w:b/>
          <w:sz w:val="32"/>
          <w:szCs w:val="32"/>
        </w:rPr>
        <w:br w:type="textWrapping"/>
      </w:r>
      <w:r>
        <w:rPr>
          <w:rFonts w:hint="eastAsia" w:ascii="仿宋_GB2312" w:hAnsi="宋体" w:eastAsia="仿宋_GB2312"/>
          <w:b/>
          <w:sz w:val="32"/>
          <w:szCs w:val="32"/>
        </w:rPr>
        <w:t>（二）资源整合不足</w:t>
      </w:r>
      <w:r>
        <w:rPr>
          <w:rFonts w:hint="eastAsia" w:ascii="仿宋_GB2312" w:hAnsi="宋体" w:eastAsia="仿宋_GB2312"/>
          <w:b/>
          <w:sz w:val="32"/>
          <w:szCs w:val="32"/>
        </w:rPr>
        <w:br w:type="textWrapping"/>
      </w:r>
      <w:r>
        <w:rPr>
          <w:rFonts w:hint="eastAsia" w:ascii="仿宋_GB2312" w:hAnsi="宋体" w:eastAsia="仿宋_GB2312"/>
          <w:b/>
          <w:sz w:val="32"/>
          <w:szCs w:val="32"/>
        </w:rPr>
        <w:t>县域内供销社系统网点分散，未形成高效协同网络，区域间资源配置不均衡，部分偏远乡村服务设施薄弱。</w:t>
      </w:r>
      <w:r>
        <w:rPr>
          <w:rFonts w:hint="eastAsia" w:ascii="仿宋_GB2312" w:hAnsi="宋体" w:eastAsia="仿宋_GB2312"/>
          <w:b/>
          <w:sz w:val="32"/>
          <w:szCs w:val="32"/>
        </w:rPr>
        <w:br w:type="textWrapping"/>
      </w:r>
      <w:r>
        <w:rPr>
          <w:rFonts w:hint="eastAsia" w:ascii="仿宋_GB2312" w:hAnsi="宋体" w:eastAsia="仿宋_GB2312"/>
          <w:b/>
          <w:sz w:val="32"/>
          <w:szCs w:val="32"/>
        </w:rPr>
        <w:t>（三）项目监督工作存在薄弱环节</w:t>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项目实施过程中的上报、跟踪、反馈机制尚未真正形成，对各地区项目资金的使用、实施等监管措施仍然存在改进的空间。</w:t>
      </w:r>
    </w:p>
    <w:p>
      <w:pPr>
        <w:numPr>
          <w:ilvl w:val="0"/>
          <w:numId w:val="1"/>
        </w:numPr>
        <w:snapToGrid w:val="0"/>
        <w:spacing w:line="540" w:lineRule="exact"/>
        <w:rPr>
          <w:rFonts w:hint="eastAsia" w:ascii="黑体" w:hAnsi="黑体" w:eastAsia="黑体" w:cs="宋体"/>
          <w:bCs/>
          <w:color w:val="333333"/>
          <w:sz w:val="32"/>
          <w:szCs w:val="32"/>
        </w:rPr>
      </w:pPr>
      <w:r>
        <w:rPr>
          <w:rFonts w:hint="eastAsia" w:ascii="黑体" w:hAnsi="黑体" w:eastAsia="黑体" w:cs="宋体"/>
          <w:bCs/>
          <w:color w:val="333333"/>
          <w:sz w:val="32"/>
          <w:szCs w:val="32"/>
        </w:rPr>
        <w:t>改进措施和建议</w:t>
      </w:r>
    </w:p>
    <w:p>
      <w:pPr>
        <w:pStyle w:val="11"/>
        <w:spacing w:line="600" w:lineRule="exact"/>
        <w:ind w:left="1368" w:firstLine="0" w:firstLineChars="0"/>
        <w:jc w:val="left"/>
        <w:rPr>
          <w:rFonts w:hint="eastAsia" w:ascii="仿宋_GB2312" w:hAnsi="宋体" w:eastAsia="仿宋_GB2312"/>
          <w:b/>
          <w:sz w:val="32"/>
          <w:szCs w:val="32"/>
        </w:rPr>
      </w:pPr>
      <w:r>
        <w:rPr>
          <w:rFonts w:hint="eastAsia" w:ascii="仿宋_GB2312" w:hAnsi="宋体" w:eastAsia="仿宋_GB2312"/>
          <w:b/>
          <w:sz w:val="32"/>
          <w:szCs w:val="32"/>
        </w:rPr>
        <w:t>（一）强化部门绩效管理体系建设</w:t>
      </w:r>
      <w:r>
        <w:rPr>
          <w:rFonts w:hint="eastAsia" w:ascii="仿宋_GB2312" w:hAnsi="宋体" w:eastAsia="仿宋_GB2312"/>
          <w:b/>
          <w:sz w:val="32"/>
          <w:szCs w:val="32"/>
        </w:rPr>
        <w:br w:type="textWrapping"/>
      </w:r>
      <w:r>
        <w:rPr>
          <w:rFonts w:hint="eastAsia" w:ascii="仿宋_GB2312" w:hAnsi="宋体" w:eastAsia="仿宋_GB2312"/>
          <w:b/>
          <w:sz w:val="32"/>
          <w:szCs w:val="32"/>
        </w:rPr>
        <w:t>一是建议以规章规则的形式，出台绩效管理制度，对绩效管理的目的、意义、性质和特点，以及组织实施绩效管理的程序、步骤、方法、原则和要求进行统一的规定。二是完善目标结构。建立“短期效益+长期发展”双维度目标体系，增加基层设覆盖率、农户满意度、服务可持续性等长期指标权重，确保目标的全面性和前瞻性。</w:t>
      </w:r>
      <w:r>
        <w:rPr>
          <w:rFonts w:hint="eastAsia" w:ascii="仿宋_GB2312" w:hAnsi="宋体" w:eastAsia="仿宋_GB2312"/>
          <w:b/>
          <w:sz w:val="32"/>
          <w:szCs w:val="32"/>
        </w:rPr>
        <w:br w:type="textWrapping"/>
      </w:r>
      <w:r>
        <w:rPr>
          <w:rFonts w:hint="eastAsia" w:ascii="仿宋_GB2312" w:hAnsi="宋体" w:eastAsia="仿宋_GB2312"/>
          <w:b/>
          <w:sz w:val="32"/>
          <w:szCs w:val="32"/>
        </w:rPr>
        <w:t>（二）整合县域资源</w:t>
      </w:r>
      <w:r>
        <w:rPr>
          <w:rFonts w:hint="eastAsia" w:ascii="仿宋_GB2312" w:hAnsi="宋体" w:eastAsia="仿宋_GB2312"/>
          <w:b/>
          <w:sz w:val="32"/>
          <w:szCs w:val="32"/>
        </w:rPr>
        <w:br w:type="textWrapping"/>
      </w:r>
      <w:r>
        <w:rPr>
          <w:rFonts w:hint="eastAsia" w:ascii="仿宋_GB2312" w:hAnsi="宋体" w:eastAsia="仿宋_GB2312"/>
          <w:b/>
          <w:sz w:val="32"/>
          <w:szCs w:val="32"/>
        </w:rPr>
        <w:t>统筹县域内供销社仓储、物流、网点资源，构建“县级配送中心+乡镇服务站+村级服务点”三级网络，推动资源共享和款区域协同合作。</w:t>
      </w:r>
      <w:r>
        <w:rPr>
          <w:rFonts w:hint="eastAsia" w:ascii="仿宋_GB2312" w:hAnsi="宋体" w:eastAsia="仿宋_GB2312"/>
          <w:b/>
          <w:sz w:val="32"/>
          <w:szCs w:val="32"/>
        </w:rPr>
        <w:br w:type="textWrapping"/>
      </w:r>
      <w:r>
        <w:rPr>
          <w:rFonts w:hint="eastAsia" w:ascii="仿宋_GB2312" w:hAnsi="宋体" w:eastAsia="仿宋_GB2312"/>
          <w:b/>
          <w:sz w:val="32"/>
          <w:szCs w:val="32"/>
        </w:rPr>
        <w:t>（三）建立动态分析管理机制，提高项目监管主动性</w:t>
      </w:r>
      <w:r>
        <w:rPr>
          <w:rFonts w:hint="eastAsia" w:ascii="仿宋_GB2312" w:hAnsi="宋体" w:eastAsia="仿宋_GB2312"/>
          <w:b/>
          <w:sz w:val="32"/>
          <w:szCs w:val="32"/>
        </w:rPr>
        <w:br w:type="textWrapping"/>
      </w:r>
      <w:r>
        <w:rPr>
          <w:rFonts w:hint="eastAsia" w:ascii="仿宋_GB2312" w:hAnsi="宋体" w:eastAsia="仿宋_GB2312"/>
          <w:b/>
          <w:sz w:val="32"/>
          <w:szCs w:val="32"/>
        </w:rPr>
        <w:t>业务部门进行指导、监督和检查时进一步加强主动性，积极探索更有效和积极主动的监管方式。一方面要建立重点项目实施过程的反馈机制，依托相关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pPr>
        <w:spacing w:line="600" w:lineRule="exact"/>
        <w:ind w:firstLine="624" w:firstLineChars="200"/>
        <w:jc w:val="left"/>
        <w:rPr>
          <w:rFonts w:hint="eastAsia" w:ascii="黑体" w:hAnsi="黑体" w:eastAsia="黑体" w:cs="宋体"/>
          <w:b/>
          <w:color w:val="333333"/>
        </w:rPr>
      </w:pPr>
      <w:r>
        <w:rPr>
          <w:rStyle w:val="8"/>
          <w:rFonts w:hint="eastAsia" w:ascii="黑体" w:hAnsi="黑体" w:eastAsia="黑体"/>
          <w:b w:val="0"/>
          <w:bCs w:val="0"/>
          <w:spacing w:val="-4"/>
          <w:sz w:val="32"/>
          <w:szCs w:val="32"/>
        </w:rPr>
        <w:t>七、</w:t>
      </w:r>
      <w:r>
        <w:rPr>
          <w:rFonts w:hint="eastAsia" w:ascii="黑体" w:hAnsi="黑体" w:eastAsia="黑体" w:cs="宋体"/>
          <w:bCs/>
          <w:color w:val="333333"/>
          <w:sz w:val="32"/>
          <w:szCs w:val="32"/>
        </w:rPr>
        <w:t>附表：《部门整体支出绩效自评表》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9" w:usb3="00000000" w:csb0="0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766670"/>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nhideWhenUsed="0" w:uiPriority="99" w:semiHidden="0"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8">
    <w:name w:val="Strong"/>
    <w:basedOn w:val="7"/>
    <w:qFormat/>
    <w:uiPriority w:val="0"/>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标题 4 字符"/>
    <w:basedOn w:val="7"/>
    <w:link w:val="2"/>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58</Words>
  <Characters>336</Characters>
  <Lines>2</Lines>
  <Paragraphs>1</Paragraphs>
  <TotalTime>26</TotalTime>
  <ScaleCrop>false</ScaleCrop>
  <LinksUpToDate>false</LinksUpToDate>
  <CharactersWithSpaces>393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2025-10-13T04:38:49Z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