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裕民县人民医院承担本区域居民的医疗、预防、保健、康复任务。（二）承担区域内传染病、职业病和非传染性慢性病的防控和健康教育工作。（三）有效应对各种突发公共卫生事件。公共卫生是保障人民大众身心健康的公共事业，包括提供基本公共卫生服务，疾病预防控制，对突发公共卫生事件的应急处置，促进妇女儿童健康，食品安全风险监测与地方标准制（修）订等各项工作。推进基本公共卫生服务均等化，控制各类重大疾病的发生与传播。</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裕民县人民医院2024年度，实有人数206人，其中：在职人员133人，增加7人；离休人员0人，增加0人；退休人员73人,增加3人。</w:t>
      </w:r>
    </w:p>
    <w:p>
      <w:pPr>
        <w:spacing w:line="580" w:lineRule="exact"/>
        <w:ind w:firstLine="640"/>
        <w:jc w:val="both"/>
      </w:pPr>
      <w:r>
        <w:rPr>
          <w:rFonts w:ascii="仿宋_GB2312" w:hAnsi="仿宋_GB2312" w:eastAsia="仿宋_GB2312"/>
          <w:sz w:val="32"/>
        </w:rPr>
        <w:t>裕民县人民医院无下属预算单位，下设26个科室，分别是：门诊、急诊、内一科、内二科、血透室、儿科、外科、妇产科、发热门诊、结核科、中医理疗中心、手麻科、检验科、功能科、放射科、供应室、药械科、医务科、护理部、院感办、办公室、财务科、病案室、信息科、公共事务部、后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2024年度收入总计8,507.08万元，</w:t>
      </w:r>
      <w:r>
        <w:rPr>
          <w:rFonts w:ascii="仿宋_GB2312" w:hAnsi="仿宋_GB2312" w:eastAsia="仿宋_GB2312"/>
          <w:b w:val="0"/>
          <w:sz w:val="32"/>
        </w:rPr>
        <w:t>其中：本年收入合计8,026.92万元，使用非财政拨款结余（含专用结余）0.00万元，年初结转和结余480.17万元。</w:t>
      </w:r>
    </w:p>
    <w:p>
      <w:pPr>
        <w:spacing w:line="580" w:lineRule="exact"/>
        <w:ind w:firstLine="640"/>
        <w:jc w:val="both"/>
      </w:pPr>
      <w:r>
        <w:rPr>
          <w:rFonts w:ascii="仿宋_GB2312" w:hAnsi="仿宋_GB2312" w:eastAsia="仿宋_GB2312"/>
          <w:b/>
          <w:sz w:val="32"/>
        </w:rPr>
        <w:t>2024年度支出总计8,507.08万元，</w:t>
      </w:r>
      <w:r>
        <w:rPr>
          <w:rFonts w:ascii="仿宋_GB2312" w:hAnsi="仿宋_GB2312" w:eastAsia="仿宋_GB2312"/>
          <w:b w:val="0"/>
          <w:sz w:val="32"/>
        </w:rPr>
        <w:t>其中：本年支出合计8,217.43万元，结余分配0.00万元，年末结转和结余289.66万元。</w:t>
      </w:r>
    </w:p>
    <w:p>
      <w:pPr>
        <w:spacing w:line="580" w:lineRule="exact"/>
        <w:ind w:firstLine="640"/>
        <w:jc w:val="both"/>
      </w:pPr>
      <w:r>
        <w:rPr>
          <w:rFonts w:ascii="仿宋_GB2312" w:hAnsi="仿宋_GB2312" w:eastAsia="仿宋_GB2312"/>
          <w:b w:val="0"/>
          <w:sz w:val="32"/>
        </w:rPr>
        <w:t>收入支出总体与上年相比，减少4,371.30万元，下降33.94%，主要原因是：1、本年减少财政政府性基金信息化建设及设备完善提升项目和医院改造提升项目,2、本年减少事业收入中住院收入；3、本年减少辽宁援疆资金医院综合楼建设及设备完善提升购置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本年收入8,026.92万元，</w:t>
      </w:r>
      <w:r>
        <w:rPr>
          <w:rFonts w:ascii="仿宋_GB2312" w:hAnsi="仿宋_GB2312" w:eastAsia="仿宋_GB2312"/>
          <w:b w:val="0"/>
          <w:sz w:val="32"/>
        </w:rPr>
        <w:t>其中：财政拨款收入2,687.79万元，占33.48%；上级补助收入0.00万元，占0.00%；事业收入4,587.69万元，占57.15%；经营收入0.00万元，占0.00%；附属单位上缴收入0.00万元，占0.00%；其他收入751.44万元，占9.36%。</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本年支出8,217.43万元，</w:t>
      </w:r>
      <w:r>
        <w:rPr>
          <w:rFonts w:ascii="仿宋_GB2312" w:hAnsi="仿宋_GB2312" w:eastAsia="仿宋_GB2312"/>
          <w:b w:val="0"/>
          <w:sz w:val="32"/>
        </w:rPr>
        <w:t>其中：基本支出7,192.10万元，占87.52%；项目支出1,025.33万元，占12.48%；上缴上级支出0.00万元，占0.00%；经营支出0.00万元，占0.00%；对附属单位补助支出0.00万元，占0.00%。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2024年度财政拨款收入总计2,687.79万元，</w:t>
      </w:r>
      <w:r>
        <w:rPr>
          <w:rFonts w:ascii="仿宋_GB2312" w:hAnsi="仿宋_GB2312" w:eastAsia="仿宋_GB2312"/>
          <w:b w:val="0"/>
          <w:sz w:val="32"/>
        </w:rPr>
        <w:t>其中：年初财政拨款结转和结余0.00万元，本年财政拨款收入2,687.79万元。</w:t>
      </w:r>
      <w:r>
        <w:rPr>
          <w:rFonts w:ascii="仿宋_GB2312" w:hAnsi="仿宋_GB2312" w:eastAsia="仿宋_GB2312"/>
          <w:b/>
          <w:sz w:val="32"/>
        </w:rPr>
        <w:t>财政拨款支出总计2,687.79万元，</w:t>
      </w:r>
      <w:r>
        <w:rPr>
          <w:rFonts w:ascii="仿宋_GB2312" w:hAnsi="仿宋_GB2312" w:eastAsia="仿宋_GB2312"/>
          <w:b w:val="0"/>
          <w:sz w:val="32"/>
        </w:rPr>
        <w:t>其中：年末财政拨款结转和结余0.00万元，本年财政拨款支出2,687.79万元。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减少1,996.40万元，下降42.62%，主要原因是：本年减少财政政府性基金信息化建设及设备完善提升项目和医院改造提升项目。</w:t>
      </w:r>
      <w:r>
        <w:rPr>
          <w:rFonts w:ascii="仿宋_GB2312" w:hAnsi="仿宋_GB2312" w:eastAsia="仿宋_GB2312"/>
          <w:b/>
          <w:sz w:val="32"/>
        </w:rPr>
        <w:t>与年初预算相比，</w:t>
      </w:r>
      <w:r>
        <w:rPr>
          <w:rFonts w:ascii="仿宋_GB2312" w:hAnsi="仿宋_GB2312" w:eastAsia="仿宋_GB2312"/>
          <w:b w:val="0"/>
          <w:sz w:val="32"/>
        </w:rPr>
        <w:t>年初预算数2,803.61万元，决算数2,687.79万元，预决算差异率-4.13%，主要原因是：年中调减2024年自治区全民健康体检补助资金。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2024年度一般公共预算财政拨款支出2,687.79万元，</w:t>
      </w:r>
      <w:r>
        <w:rPr>
          <w:rFonts w:ascii="仿宋_GB2312" w:hAnsi="仿宋_GB2312" w:eastAsia="仿宋_GB2312"/>
          <w:b w:val="0"/>
          <w:sz w:val="32"/>
        </w:rPr>
        <w:t>占本年支出合计的32.71%。</w:t>
      </w:r>
      <w:r>
        <w:rPr>
          <w:rFonts w:ascii="仿宋_GB2312" w:hAnsi="仿宋_GB2312" w:eastAsia="仿宋_GB2312"/>
          <w:b/>
          <w:sz w:val="32"/>
        </w:rPr>
        <w:t>与上年相比，</w:t>
      </w:r>
      <w:r>
        <w:rPr>
          <w:rFonts w:ascii="仿宋_GB2312" w:hAnsi="仿宋_GB2312" w:eastAsia="仿宋_GB2312"/>
          <w:b w:val="0"/>
          <w:sz w:val="32"/>
        </w:rPr>
        <w:t>增加3.60万元，增长0.13%，主要原因是：人员工资增长，社保、公积金基数调增，相关支出增加，本年增加公共卫生服务项目支出。</w:t>
      </w:r>
      <w:r>
        <w:rPr>
          <w:rFonts w:ascii="仿宋_GB2312" w:hAnsi="仿宋_GB2312" w:eastAsia="仿宋_GB2312"/>
          <w:b/>
          <w:sz w:val="32"/>
        </w:rPr>
        <w:t>与年初预算相比,</w:t>
      </w:r>
      <w:r>
        <w:rPr>
          <w:rFonts w:ascii="仿宋_GB2312" w:hAnsi="仿宋_GB2312" w:eastAsia="仿宋_GB2312"/>
          <w:b w:val="0"/>
          <w:sz w:val="32"/>
        </w:rPr>
        <w:t>年初预算数2,803.61万元，决算数2,687.79万元，预决算差异率-4.13%，主要原因是：年中调减2024年自治区全民健康体检补助资金。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1.科学技术支出(类)20.89万元,占0.78%。</w:t>
      </w:r>
    </w:p>
    <w:p>
      <w:pPr>
        <w:spacing w:line="580" w:lineRule="exact"/>
        <w:ind w:firstLine="640"/>
        <w:jc w:val="both"/>
      </w:pPr>
      <w:r>
        <w:rPr>
          <w:rFonts w:ascii="仿宋_GB2312" w:hAnsi="仿宋_GB2312" w:eastAsia="仿宋_GB2312"/>
          <w:b w:val="0"/>
          <w:sz w:val="32"/>
        </w:rPr>
        <w:t>2.社会保障和就业支出(类)400.07万元,占14.88%。</w:t>
      </w:r>
    </w:p>
    <w:p>
      <w:pPr>
        <w:spacing w:line="580" w:lineRule="exact"/>
        <w:ind w:firstLine="640"/>
        <w:jc w:val="both"/>
      </w:pPr>
      <w:r>
        <w:rPr>
          <w:rFonts w:ascii="仿宋_GB2312" w:hAnsi="仿宋_GB2312" w:eastAsia="仿宋_GB2312"/>
          <w:b w:val="0"/>
          <w:sz w:val="32"/>
        </w:rPr>
        <w:t>3.卫生健康支出(类)2,068.54万元,占76.96%。</w:t>
      </w:r>
    </w:p>
    <w:p>
      <w:pPr>
        <w:spacing w:line="580" w:lineRule="exact"/>
        <w:ind w:firstLine="640"/>
        <w:jc w:val="both"/>
      </w:pPr>
      <w:r>
        <w:rPr>
          <w:rFonts w:ascii="仿宋_GB2312" w:hAnsi="仿宋_GB2312" w:eastAsia="仿宋_GB2312"/>
          <w:b w:val="0"/>
          <w:sz w:val="32"/>
        </w:rPr>
        <w:t>4.住房保障支出(类)198.29万元,占7.38%。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1.科学技术支出(类)科学技术管理事务(款)其他科学技术管理事务支出(项):支出决算数为18.24万元，比上年决算减少1.49万元，下降7.55%,主要原因是：编制外长聘人员离职1人，相应经费减少。</w:t>
      </w:r>
    </w:p>
    <w:p>
      <w:pPr>
        <w:spacing w:line="580" w:lineRule="exact"/>
        <w:ind w:firstLine="640"/>
        <w:jc w:val="both"/>
      </w:pPr>
      <w:r>
        <w:rPr>
          <w:rFonts w:ascii="仿宋_GB2312" w:hAnsi="仿宋_GB2312" w:eastAsia="仿宋_GB2312"/>
          <w:b w:val="0"/>
          <w:sz w:val="32"/>
        </w:rPr>
        <w:t>2.科学技术支出(类)科技条件与服务(款)其他科技条件与服务支出(项):支出决算数为2.64万元，比上年决算增加2.64万元，增长100.00%,主要原因是：本年新增加人才发展基金项目（刘方海工作室）经费。</w:t>
      </w:r>
    </w:p>
    <w:p>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3.社会保障和就业支出(类)行政事业单位养老支出(款)事业单位离退休(项):支出决算数为61.78万元，比上年决算增加2.89万元，增长4.91%,主要原因是：本年增加退休人员，相应退休费增加。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260.18万元，比上年决算增加40.12万元，增长18.23%,主要原因是：新考入人员增加及工资普调和职称提高调资使的养老金缴费基数增加，缴费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78.11万元，比上年决算增加12.09万元，增长18.31%,主要原因是：新考入人员增加及工资普调和职称提高调资使的职业年金缴费基数增加，缴费增加。</w:t>
      </w:r>
    </w:p>
    <w:p>
      <w:pPr>
        <w:spacing w:line="580" w:lineRule="exact"/>
        <w:ind w:firstLine="640"/>
        <w:jc w:val="both"/>
      </w:pPr>
      <w:r>
        <w:rPr>
          <w:rFonts w:ascii="仿宋_GB2312" w:hAnsi="仿宋_GB2312" w:eastAsia="仿宋_GB2312"/>
          <w:b w:val="0"/>
          <w:sz w:val="32"/>
        </w:rPr>
        <w:t>6.卫生健康支出(类)卫生健康管理事务(款)其他卫生健康管理事务支出(项):支出决算数为0.00万元，比上年决算减少190.00万元，下降100.00%,主要原因是：本年医疗服务和保障能力提升（医疗机构能力建设）经费减少。</w:t>
      </w:r>
    </w:p>
    <w:p>
      <w:pPr>
        <w:spacing w:line="580" w:lineRule="exact"/>
        <w:ind w:firstLine="640"/>
        <w:jc w:val="both"/>
      </w:pPr>
      <w:r>
        <w:rPr>
          <w:rFonts w:ascii="仿宋_GB2312" w:hAnsi="仿宋_GB2312" w:eastAsia="仿宋_GB2312"/>
          <w:b w:val="0"/>
          <w:sz w:val="32"/>
        </w:rPr>
        <w:t>7.卫生健康支出(类)公立医院(款)综合医院(项):支出决算数为1,603.65万元，比上年决算增加144.43万元，增长9.90%,主要原因是：本年在职人员增加，在职人员工资调增，相应经费增加。</w:t>
      </w:r>
    </w:p>
    <w:p>
      <w:pPr>
        <w:spacing w:line="580" w:lineRule="exact"/>
        <w:ind w:firstLine="640"/>
        <w:jc w:val="both"/>
      </w:pPr>
      <w:r>
        <w:rPr>
          <w:rFonts w:ascii="仿宋_GB2312" w:hAnsi="仿宋_GB2312" w:eastAsia="仿宋_GB2312"/>
          <w:b w:val="0"/>
          <w:sz w:val="32"/>
        </w:rPr>
        <w:t>8.卫生健康支出(类)公立医院(款)其他公立医院支出(项):支出决算数为91.00万元，比上年决算减少127.34万元，下降58.32%,主要原因是：本年医疗服务与保障能力提升（公立医院综合改革）经费减少。</w:t>
      </w:r>
    </w:p>
    <w:p>
      <w:pPr>
        <w:spacing w:line="580" w:lineRule="exact"/>
        <w:ind w:firstLine="640"/>
        <w:jc w:val="both"/>
      </w:pPr>
      <w:r>
        <w:rPr>
          <w:rFonts w:ascii="仿宋_GB2312" w:hAnsi="仿宋_GB2312" w:eastAsia="仿宋_GB2312"/>
          <w:b w:val="0"/>
          <w:sz w:val="32"/>
        </w:rPr>
        <w:t>9.卫生健康支出(类)基层医疗卫生机构(款)其他基层医疗卫生机构支出(项):支出决算数为192.75万元，比上年决算增加192.75万元，增长100.00%,主要原因是：本年增加2024年中央医疗服务与保障能力提升[医疗卫生机构能力建设]经费。</w:t>
      </w:r>
    </w:p>
    <w:p>
      <w:pPr>
        <w:spacing w:line="580" w:lineRule="exact"/>
        <w:ind w:firstLine="640"/>
        <w:jc w:val="both"/>
      </w:pPr>
      <w:r>
        <w:rPr>
          <w:rFonts w:ascii="仿宋_GB2312" w:hAnsi="仿宋_GB2312" w:eastAsia="仿宋_GB2312"/>
          <w:b w:val="0"/>
          <w:sz w:val="32"/>
        </w:rPr>
        <w:t>10.卫生健康支出(类)公共卫生(款)基本公共卫生服务(项):支出决算数为1.84万元，比上年决算减少44.18万元，下降96.00%,主要原因是：本年减少健康档案、健康教育、传染病及突发公卫事件处理、老年人保健、糖尿病患者管理、高血压患者管理、严重精神障碍患者管理、中医药健康服务，家庭医生签约补助资金。</w:t>
      </w:r>
    </w:p>
    <w:p>
      <w:pPr>
        <w:spacing w:line="580" w:lineRule="exact"/>
        <w:ind w:firstLine="640"/>
        <w:jc w:val="both"/>
      </w:pPr>
      <w:r>
        <w:rPr>
          <w:rFonts w:ascii="仿宋_GB2312" w:hAnsi="仿宋_GB2312" w:eastAsia="仿宋_GB2312"/>
          <w:b w:val="0"/>
          <w:sz w:val="32"/>
        </w:rPr>
        <w:t>11.卫生健康支出(类)公共卫生(款)重大公共卫生服务(项):支出决算数为21.25万元，比上年决算增加0.85万元，增长4.17%,主要原因是：本年重大传染病项目资金增加。</w:t>
      </w:r>
    </w:p>
    <w:p>
      <w:pPr>
        <w:spacing w:line="580" w:lineRule="exact"/>
        <w:ind w:firstLine="640"/>
        <w:jc w:val="both"/>
      </w:pPr>
      <w:r>
        <w:rPr>
          <w:rFonts w:ascii="仿宋_GB2312" w:hAnsi="仿宋_GB2312" w:eastAsia="仿宋_GB2312"/>
          <w:b w:val="0"/>
          <w:sz w:val="32"/>
        </w:rPr>
        <w:t>12.卫生健康支出(类)公共卫生(款)突发公共卫生事件应急处理(项):支出决算数为0.00万元，比上年决算减少95.83万元，下降100.00%,主要原因是：本年减少自治区医务人员临时性工作补助资金。</w:t>
      </w:r>
    </w:p>
    <w:p>
      <w:pPr>
        <w:spacing w:line="580" w:lineRule="exact"/>
        <w:ind w:firstLine="640"/>
        <w:jc w:val="both"/>
      </w:pPr>
      <w:r>
        <w:rPr>
          <w:rFonts w:ascii="仿宋_GB2312" w:hAnsi="仿宋_GB2312" w:eastAsia="仿宋_GB2312"/>
          <w:b w:val="0"/>
          <w:sz w:val="32"/>
        </w:rPr>
        <w:t>13.卫生健康支出(类)公共卫生(款)其他公共卫生支出(项):支出决算数为51.36万元，比上年决算增加31.57万元，增长159.53%,主要原因是：本年服务的全民健康体检人数增加资金也相应增加，本年新增加公职单位人员体检及补助。</w:t>
      </w:r>
    </w:p>
    <w:p>
      <w:pPr>
        <w:spacing w:line="580" w:lineRule="exact"/>
        <w:ind w:firstLine="640"/>
        <w:jc w:val="both"/>
      </w:pPr>
      <w:r>
        <w:rPr>
          <w:rFonts w:ascii="仿宋_GB2312" w:hAnsi="仿宋_GB2312" w:eastAsia="仿宋_GB2312"/>
          <w:b w:val="0"/>
          <w:sz w:val="32"/>
        </w:rPr>
        <w:t>14.卫生健康支出(类)行政事业单位医疗(款)事业单位医疗(项):支出决算数为106.69万元，比上年决算增加9.04万元，增长9.26%,主要原因是：人员工资基数调增，医疗缴费基数上涨，相应支出增加。</w:t>
      </w:r>
    </w:p>
    <w:p>
      <w:pPr>
        <w:spacing w:line="580" w:lineRule="exact"/>
        <w:ind w:firstLine="640"/>
        <w:jc w:val="both"/>
      </w:pPr>
      <w:r>
        <w:rPr>
          <w:rFonts w:ascii="仿宋_GB2312" w:hAnsi="仿宋_GB2312" w:eastAsia="仿宋_GB2312"/>
          <w:b w:val="0"/>
          <w:sz w:val="32"/>
        </w:rPr>
        <w:t>15.住房保障支出(类)住房改革支出(款)住房公积金(项):支出决算数为198.29万元，比上年决算增加26.05万元，增长15.12%,主要原因是：人员工资基数调增，公积金缴费基数上涨，相应支出增加。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2024年度一般公共预算财政拨款基本支出2,230.40万元，其中：</w:t>
      </w:r>
      <w:r>
        <w:rPr>
          <w:rFonts w:ascii="仿宋_GB2312" w:hAnsi="仿宋_GB2312" w:eastAsia="仿宋_GB2312"/>
          <w:b/>
          <w:sz w:val="32"/>
        </w:rPr>
        <w:t>人员经费2,230.40万元，</w:t>
      </w:r>
      <w:r>
        <w:rPr>
          <w:rFonts w:ascii="仿宋_GB2312" w:hAnsi="仿宋_GB2312" w:eastAsia="仿宋_GB2312"/>
          <w:b w:val="0"/>
          <w:sz w:val="32"/>
        </w:rPr>
        <w:t>包括：基本工资、津贴补贴、绩效工资、机关事业单位基本养老保险缴费、职业年金缴费、职工基本医疗保险缴费、其他社会保障缴费、住房公积金、其他工资福利支出、退休费、抚恤金、医疗费补助、奖励金。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减少2,000.00万元，下降100.00%，主要原因是：本年减少塔城地区裕民县第一批地方政府债券转贷（裕民县人民医院改造提升项目）专项债项目和裕民县人民医院信息化建设及设备完善提升项目。</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年初预算数0.00万元，决算数0.00万元，预决算差异率0.00%，主要原因是：严格按照预算执行，预决算无差异。</w:t>
      </w:r>
    </w:p>
    <w:p>
      <w:pPr>
        <w:spacing w:line="580" w:lineRule="exact"/>
        <w:ind w:firstLine="640"/>
        <w:jc w:val="both"/>
      </w:pPr>
      <w:r>
        <w:rPr>
          <w:rFonts w:ascii="仿宋_GB2312" w:hAnsi="仿宋_GB2312" w:eastAsia="仿宋_GB2312"/>
          <w:b w:val="0"/>
          <w:sz w:val="32"/>
        </w:rPr>
        <w:t>政府性基金预算财政拨款支出0.00万元。</w:t>
      </w:r>
    </w:p>
    <w:p>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2,000.00万元，下降100.00%,主要原因是：本年减少塔城地区裕民县第一批地方政府债券转贷（裕民县人民医院改造提升项目）专项债项目和裕民县人民医院信息化建设及设备完善提升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8辆，与公务用车保有量差异原因是：单位业务用车，车辆费用未使用财政拨款公务用车运行维护费支付，由单位资金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2024年度裕民县人民医院（事业单位）公用经费支出0.00万元，比上年增加0.00万元，增长0.00%，主要原因是：2023年与2024年均未安排公用经费支出。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2024年度政府采购支出总额1,608.78万元，其中：政府采购货物支出1,538.38万元、政府采购工程支出1.58万元、政府采购服务支出68.83万元。</w:t>
      </w:r>
    </w:p>
    <w:p>
      <w:pPr>
        <w:spacing w:line="580" w:lineRule="exact"/>
        <w:ind w:firstLine="640"/>
        <w:jc w:val="both"/>
      </w:pPr>
      <w:r>
        <w:rPr>
          <w:rFonts w:ascii="仿宋_GB2312" w:hAnsi="仿宋_GB2312" w:eastAsia="仿宋_GB2312"/>
          <w:b w:val="0"/>
          <w:sz w:val="32"/>
        </w:rPr>
        <w:t>授予中小企业合同金额1,045.25万元，占政府采购支出总额的64.97%，其中：授予小微企业合同金额316.59万元，占政府采购支出总额的19.68%。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28,374.83平方米，价值6,133.55万元。车辆8辆，价值271.07万元，其中：副部（省）级及以上领导用车0辆、主要负责人用车0辆、机要通信用车0辆、应急保障用车0辆、执法执勤用车0辆、特种专业技术用车1辆、离退休干部服务用车0辆、其他用车7辆，其他用车主要是：医院转运患者的救护车。单价100万元（含）以上设备（不含车辆）8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8,825.28万元，实际执行总额8,217.43万元；预算绩效评价项目9个，全年预算数518.16万元，全年执行数485.42万元。预算绩效管理取得的成效：一是通过对每笔资金的精细化管理来保障资金使用的合规、合法性，并据此分析各类资金支出产生的效益，使本单位的绩效工作上一个新台阶；二是加强财务管理，严格财务审核，按照预算规定的费用项目和用途进行资金使用审核，杜绝超支现象的发生。发现的问题及原因：一是单位预算控制工作需进一步提高；二是落实预算执行分析，及时了解预算执行差异，合理调整、纠正预算执行偏差，切实提高单位预算收支管理水平，严格做到决算与预算相一致。下一步改进措施：一是细化预算指标，提高预算科学性。预算编制前根据年度内单位可预见的工作任务，确定单位年度预算目标，细化预算指标，科学合理编制单位预算，推进预算编制科学化、准确化。根据实际情况，定期做好预算执行分析，掌握预算执行进度，及时找出预算实际执行情况与预算目标之间存在的差距，纠正偏差，为下一次科学、准确地编制单位预算积累经验；二是规范财务运行，加强预算支出管理。严格遵循“先有预算、后有支出”的原则，在资金支付管理方面，严格按照规定程序向财政单位申请用款，在财政单位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具体项目自评情况附项目支出绩效自评表。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8,335.92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8,825.28</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8,217.43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93.11%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9.31</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434.72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485.42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485.42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2,397.66</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7,799.95</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7,192.10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5,503.54</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539.91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539.91</w:t>
            </w: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c>
          <w:tcPr>
            <w:tcW w:w="1105"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3315" w:type="dxa"/>
            <w:gridSpan w:val="3"/>
            <w:tcBorders>
              <w:top w:val="single" w:color="auto" w:sz="10" w:space="0"/>
              <w:bottom w:val="single" w:color="auto" w:sz="10" w:space="0"/>
              <w:insideV w:val="single" w:sz="10" w:space="0"/>
            </w:tcBorders>
            <w:vAlign w:val="center"/>
          </w:tcPr>
          <w:p>
            <w:pPr>
              <w:jc w:val="both"/>
            </w:pPr>
            <w:r>
              <w:rPr>
                <w:rFonts w:ascii="宋体" w:hAnsi="宋体" w:eastAsia="宋体"/>
                <w:sz w:val="16"/>
              </w:rPr>
              <w:t>2024年基本支出：人员工资支出、津贴补贴、社保、公积金等。2024年项目支出：关于申请引进人才工作项目、基本公共卫生服务项目、2024年自治区全民健康体检、重大公共卫生服务项目、中央医疗服务与保障能力提升[公立医院综合改革]项目、公共租赁住房财政专项资金（牧场120套公租房工程建设）项目、县级公立医院薄弱专科建设项目、中央医疗服务与保障能力提升[医疗卫生机构能力建设]项目等。</w:t>
            </w:r>
          </w:p>
        </w:tc>
        <w:tc>
          <w:tcPr>
            <w:tcW w:w="4420" w:type="dxa"/>
            <w:gridSpan w:val="4"/>
            <w:tcBorders>
              <w:top w:val="single" w:color="auto" w:sz="10" w:space="0"/>
              <w:bottom w:val="single" w:color="auto" w:sz="10" w:space="0"/>
              <w:insideV w:val="single" w:sz="10" w:space="0"/>
            </w:tcBorders>
            <w:vAlign w:val="center"/>
          </w:tcPr>
          <w:p>
            <w:pPr>
              <w:jc w:val="both"/>
            </w:pPr>
            <w:r>
              <w:rPr>
                <w:rFonts w:ascii="宋体" w:hAnsi="宋体" w:eastAsia="宋体"/>
                <w:sz w:val="16"/>
              </w:rPr>
              <w:t>2024年我单位人员工资支出，津贴补贴、社保、住房公积金等基本支出7192.10万元。2024年人才发展基金刘方海工作室经费支付专家差旅费及个人奖励2.643万元；关于申请引进人才工作经费支付专家差旅费、劳务费、住宿费等96.55万元；2024年中央医疗服务与保障能力提升[公立医院综合改革]支付卫材款、药品款及带量采购款91万元；2024年中央医疗服务与保障能力提升[医疗卫生机构能力建设]支付妇科手术台、角膜验光仪、B超、心电监护、云胶片、县域影像中心、慢病管理平台款等192.75万元；塔地财社[2020]98号拨付2020年中央财政医疗服务与保障能力提升（卫生健康人才培养、医疗卫生机构能力建设）补助资金（第二批）（县级公立医院薄弱专科建设项目200万元）支付设备质保金8.623万元；（基本公共卫生服务）2024年自治区预防接种、传染病及突发公共卫生事件报告处理、肺结核患者健康管理、结核病补助县级配套支付妇产科疫苗接种费、传染病和食源性疾病上报及网络报告费、结核患者住院期间在食堂就餐的中、晚餐、结核病规范化诊疗培训差旅费、传染病、食源性疾病上报及网络报告监测费等1.84万元；（重大公共卫生服务）2024年中央务的结核病防治、慢病综合防控、包虫病防治、布病、饮用水经费支付包虫病患者门诊检查费、疑似肺结核病患者门诊检查费、患者GX费、痰检费、痰培养费、网络报告费用、患者管理费及交通补助费用、密接检查交通费、包虫病患者住院医疗费用个人自付部分、结核病规范化诊疗培训差旅费、2024年食源性系统接入医院系统的接口技术服务费等21.25万元；2024年自治区全民健康体检补助资金支付试剂款51.36万元；2020年地区本级公共租赁住房财政专项资金（牧场120套公租房工程建设）支付工程余款及质保金19.41万元；地区援疆办辽宁援疆资金医院综合楼建设及设备完善提升购置项目施工款539.91万元。</w:t>
            </w:r>
          </w:p>
        </w:tc>
      </w:tr>
      <w:tr>
        <w:tblPrEx>
          <w:tblCellMar>
            <w:top w:w="0" w:type="dxa"/>
            <w:left w:w="108" w:type="dxa"/>
            <w:bottom w:w="0" w:type="dxa"/>
            <w:right w:w="108" w:type="dxa"/>
          </w:tblCellMar>
        </w:tblPrEx>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单位在职、聘用人数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&gt;=296人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299人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发放工资人数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&gt;=368人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371人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发放取暖补助人数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&gt;=204人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204人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全民健康体检受益人数</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&gt;=11020人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10367人</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12.23</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经费使用完成率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93.11%</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11.4</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全民健康体检覆盖率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14</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14</w:t>
            </w:r>
          </w:p>
        </w:tc>
      </w:tr>
      <w:tr>
        <w:tblPrEx>
          <w:tblCellMar>
            <w:top w:w="0" w:type="dxa"/>
            <w:left w:w="108" w:type="dxa"/>
            <w:bottom w:w="0" w:type="dxa"/>
            <w:right w:w="108" w:type="dxa"/>
          </w:tblCellMar>
        </w:tblPrEx>
        <w:tc>
          <w:tcPr>
            <w:tcW w:w="1105" w:type="dxa"/>
            <w:vMerge w:val="continue"/>
            <w:tcBorders>
              <w:top w:val="single" w:color="auto" w:sz="10" w:space="0"/>
              <w:bottom w:val="single" w:color="auto" w:sz="10" w:space="0"/>
              <w:insideV w:val="single" w:sz="10" w:space="0"/>
            </w:tcBorders>
          </w:tcPr>
          <w:p/>
        </w:tc>
        <w:tc>
          <w:tcPr>
            <w:tcW w:w="1105" w:type="dxa"/>
            <w:vMerge w:val="continue"/>
            <w:tcBorders>
              <w:top w:val="single" w:color="auto" w:sz="10" w:space="0"/>
              <w:bottom w:val="single" w:color="auto" w:sz="10" w:space="0"/>
              <w:insideV w:val="single" w:sz="10" w:space="0"/>
            </w:tcBorders>
          </w:tcP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设备采购合格率</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13</w:t>
            </w:r>
          </w:p>
        </w:tc>
      </w:tr>
    </w:tbl>
    <w:p>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611"/>
        <w:gridCol w:w="856"/>
        <w:gridCol w:w="576"/>
        <w:gridCol w:w="696"/>
        <w:gridCol w:w="593"/>
        <w:gridCol w:w="576"/>
        <w:gridCol w:w="593"/>
        <w:gridCol w:w="696"/>
        <w:gridCol w:w="776"/>
        <w:gridCol w:w="628"/>
        <w:gridCol w:w="696"/>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2024年中央医疗服务与保障能力提升[公立医院综合改革]项目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91.00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项目主要用于单位材料费的支出，项目目的实施达到方便医护人员对患者医疗服务的便利性，维护公益性、调动积极性、保障可持续的运行断机制效果。进一步推进公立医院改革，药品零差率，使用抗菌药物的限制是，提升医疗服务质量，提高医务人员的工作积极性。深入推进改善医疗服务，持续增强人民群众的幸福感、获得感，提高医务人员满意度。</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2024年中央医疗服务与保障能力提升[公立医院综合改革]项目截</w:t>
            </w:r>
            <w:r>
              <w:rPr>
                <w:rFonts w:hint="eastAsia" w:ascii="宋体" w:hAnsi="宋体"/>
                <w:sz w:val="16"/>
                <w:lang w:eastAsia="zh-CN"/>
              </w:rPr>
              <w:t>至</w:t>
            </w:r>
            <w:r>
              <w:rPr>
                <w:rFonts w:ascii="宋体" w:hAnsi="宋体" w:eastAsia="宋体"/>
                <w:sz w:val="16"/>
              </w:rPr>
              <w:t>2024年5月31日，项目资金执行91万元，资金执行率100%；项目完成采购药品及带量采购款的支付；通过项目的实施，方便医护人员对患者医疗服务的便利性和医疗服务质量提升。</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医疗服务收入（不含药品、耗材、检查化验收入）占公立医院医疗收入的比例</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&gt;=29.80%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36.</w:t>
            </w:r>
            <w:bookmarkStart w:id="0" w:name="_GoBack"/>
            <w:bookmarkEnd w:id="0"/>
            <w:r>
              <w:rPr>
                <w:rFonts w:ascii="宋体" w:hAnsi="宋体" w:eastAsia="宋体"/>
                <w:sz w:val="16"/>
              </w:rPr>
              <w:t>34%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121.94%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按照相关医院考核要求，医疗服务收入（不含药品、耗材、检查化验收入）占公立医院医疗收入的比例达到29.80%以上，已完成要求</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公立医院资产负债率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&lt;=40.8%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37.77%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92.57%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6.48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公立医院平均住院日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&lt;=9.35天</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7.3天</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78.07%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6.25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按照相关医院考核要求，平均住院日达到小于9.35天</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2023年12月20日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2024年5月8日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专用材料成本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&lt;=91万元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218.34万元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91万元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医疗服务质量提升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该项目实施项目阶段有效提升了医院的医疗服务质量水平</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职工满意度和患者满意度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96.77%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101.86%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该项目超额完成满意度</w:t>
            </w: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97.73分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14"/>
        <w:gridCol w:w="584"/>
        <w:gridCol w:w="584"/>
        <w:gridCol w:w="629"/>
        <w:gridCol w:w="856"/>
        <w:gridCol w:w="584"/>
        <w:gridCol w:w="629"/>
        <w:gridCol w:w="599"/>
        <w:gridCol w:w="584"/>
        <w:gridCol w:w="599"/>
        <w:gridCol w:w="696"/>
        <w:gridCol w:w="776"/>
        <w:gridCol w:w="696"/>
        <w:gridCol w:w="630"/>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2024年中央医疗服务与保障能力提升[医疗卫生机构能力建设]项目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192.75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为坚持党的新时代卫生健康工作方针，进一步加强医疗卫生机构能力建设，推动优质医疗资源扩容和区域均衡布局，指导全区有序推进</w:t>
            </w:r>
            <w:r>
              <w:rPr>
                <w:rFonts w:hint="eastAsia" w:ascii="宋体" w:hAnsi="宋体"/>
                <w:sz w:val="16"/>
                <w:lang w:val="en-US" w:eastAsia="zh-CN"/>
              </w:rPr>
              <w:t>YQ</w:t>
            </w:r>
            <w:r>
              <w:rPr>
                <w:rFonts w:ascii="宋体" w:hAnsi="宋体" w:eastAsia="宋体"/>
                <w:sz w:val="16"/>
              </w:rPr>
              <w:t>防控和健康扶贫工作，进一步加强基层服务体系能力建设，持续提升基层医疗卫生服务能力，年度预算资金192.75万元，通过项目建设，全面提升县医疗卫生机构综合能力，支持县级公立医院，购买（妇科手术台、角膜验光仪\B超、心电监护\云胶片、慢病管理平台等相关设备）11台以上医疗设备共计192.75万元，进一步完善县域医疗卫生服务体系，提高县域就诊率。</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为进一步加强基层服务体系能力建设，持续提升基层医疗卫生服务能力，推动优质医疗资源扩容和区域均衡布局，指导全区有序推进疫情防控和健康扶贫工作，通过购买妇科手术台、角膜验光仪\B超、心电监护\云胶片、慢病管理平台等11台医疗设备，进一步完善县域医疗卫生服务体系，提高县域就诊率。</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购置医疗设备台数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&gt;=11台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县域影像中心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设备验收合格率（%）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购置计划完成及时性</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2023年11月27日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2024年10月29日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设备购置成本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&lt;=172.75万元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172.75万元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建设县域影像中心系统成本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说明材料,工作资料,正式材料,原始凭证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提高医疗机构的服务质量</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医疗设备利用率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2024年人才发展基金刘方海工作室</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2.64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为不断加强刘方海工作室医疗救治、专业技术人员培训、课题研究、新技术推广的力度，充分发挥刘方海工作室的示范带头作用，邀请专家手术示教次数不少于6次，专家往返次数不少于6次，定期组织工作室人员专业知识培训不少于1次，组织参加年会次数不少于2次。逐步提升专业技术水平，增加面对面学习机会，更新工作室专业技术人员的知识结构，提高临床诊疗技能的掌握水平。</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人才发展基金刘方海工作室，邀请专家手术示教次数5次，专家往返次数4次，定期组织工作室人员专业知识培训1次，参加年会次数1次。逐步提升专业技术水平，增加面对面学习机会，更新工作室专业技术人员的知识结构，提高临床诊疗技能的掌握水平。</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邀请专家手术示教次数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83.33%</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专家往返次数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定期组织工作室人员专业知识培训次数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正式材料,工作资料,说明材料,原始凭证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参加年会次数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资金足额保障率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拨付资金及时率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邀请专家服务劳务费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&lt;=0.70万元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原始凭证,工作资料,正式材料,说明材料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邀请专家服务差旅费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&lt;=1.94万元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正式材料,工作资料,说明材料,原始凭证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1.94万元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提升专业技术水平，增加面对面学习机会，更新工作室专业技术人员的知识结构，提高临床诊疗技能的掌握水平。</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示教培训人员满意度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99.00分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5"/>
        <w:gridCol w:w="776"/>
        <w:gridCol w:w="622"/>
        <w:gridCol w:w="622"/>
        <w:gridCol w:w="625"/>
        <w:gridCol w:w="622"/>
        <w:gridCol w:w="625"/>
        <w:gridCol w:w="631"/>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公共租赁住房财政专项资金（牧场120套公租房工程建设）项目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19.41</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项目主要用于付公共租赁住房附属设施项目17%的工程款及质保金，项目目的实施达到落实节能措施，减少对环境的污染，提高水资源、能源利用效率，改善医务人员的住宿环境，加强项目资金管理，做到专账管理，专项核算，专款专用效果。</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2024年公共租赁住房财政专项资金（牧场120套公租房工程建设）项目于6月27日向新疆裕达建设有限公司付17%的工程款16.63万元及11月17日向新疆裕达建设有限公司付质保金2.78万元，已达到落实节能措施，减少对环境的污染，提高水资源、能源利用效率，改善医务人员的住宿环境，加强项目资金管理，做到专账管理，专项核算，专款专用效果。</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质保金支付项目数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支付工程款笔数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设计单位资质合格率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工程验收合格率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2024年11月27日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用于付公共租赁住房附属设施项目17%的工程款</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&lt;=16.63万元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16.63万元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用于付公共租赁住房附属建设项目质保金</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&lt;=2.78万元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2.78万元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改善医院医务人员住宿环境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有所改善</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医院职工满意度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p>
        </w:tc>
        <w:tc>
          <w:tcPr>
            <w:tcW w:w="632" w:type="dxa"/>
            <w:tcBorders>
              <w:top w:val="single" w:color="auto" w:sz="10" w:space="0"/>
              <w:bottom w:val="single" w:color="auto" w:sz="10" w:space="0"/>
              <w:insideV w:val="single" w:sz="10" w:space="0"/>
            </w:tcBorders>
            <w:vAlign w:val="center"/>
          </w:tcPr>
          <w:p>
            <w:pPr>
              <w:jc w:val="center"/>
            </w:p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98.50分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县级公立医院薄弱专科建设项目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8.62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74.83%</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7.48</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11.52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8.62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聚焦县级公立医院薄弱专科能力短板，加强传染病防治能力，构建和完善公立医院传染病防治体系，立足于更精准更有效的防，强化公立医院医防并重，提升公立医院传染病“早发现、早隔离、早报告、早治疗”的能力，加强院感防控和医务人员防护,加强院感防控相关设备物资储备,互联网应用基础平台,完善发热门诊和预检分诊工作、加强医院医防结合信息联通,就医服务系统,完善发热门诊和预检分诊工作、加强医院医防结合信息联通，自助报告打印机，避免交叉感染、改善就诊体验,自助发卡缴费机,避免交叉感染、改善就诊体验，用于购买设备1台及付县级公立医院薄弱专科建设项目质保金。</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用于付县级公立医院薄弱专科建设项目尾款质保金8.62万元，完善发热门诊和预检分诊工作、加强医院医防结合信息联通,就医服务系统,完善发热门诊和预检分诊工作、加强医院医防结合信息联通，自助报告打印机，避免交叉感染、改善就诊体验,自助发卡缴费机,避免交叉感染、改善就诊体验，强化公立医院医防并重，提升公立医院传染病“早发现、早隔离、早报告、早治疗”的能力。</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购置医疗设备数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年初预算时打算购买设备，后期不需要买设备</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质保金支付项目数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1笔</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医疗设备验收合格率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年初预算时打算购买设备，后期不需要买设备，所以没有医疗验收合格率</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设备购置成本</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&lt;=2.90万元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年初预算时打算购买设备，后期不需要买设备，所以没有设备购置成本</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付县级公立医院薄弱专科建设项目质保金</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&lt;=8.62万元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8.62万元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提升传染病规范化诊疗能力</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逐年提升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ab/>
            </w:r>
            <w:r>
              <w:rPr>
                <w:rFonts w:ascii="宋体" w:hAnsi="宋体" w:eastAsia="宋体"/>
                <w:sz w:val="16"/>
              </w:rPr>
              <w:t>逐年提升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医院公共卫生服务满意度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说明材料,原始凭证,正式材料,工作资料</w:t>
            </w:r>
          </w:p>
        </w:tc>
        <w:tc>
          <w:tcPr>
            <w:tcW w:w="632" w:type="dxa"/>
            <w:tcBorders>
              <w:top w:val="single" w:color="auto" w:sz="10" w:space="0"/>
              <w:bottom w:val="single" w:color="auto" w:sz="10" w:space="0"/>
              <w:insideV w:val="single" w:sz="10" w:space="0"/>
            </w:tcBorders>
            <w:vAlign w:val="center"/>
          </w:tcPr>
          <w:p>
            <w:pPr>
              <w:jc w:val="center"/>
            </w:pPr>
          </w:p>
        </w:tc>
        <w:tc>
          <w:tcPr>
            <w:tcW w:w="632" w:type="dxa"/>
            <w:tcBorders>
              <w:top w:val="single" w:color="auto" w:sz="10" w:space="0"/>
              <w:bottom w:val="single" w:color="auto" w:sz="10" w:space="0"/>
              <w:insideV w:val="single" w:sz="10" w:space="0"/>
            </w:tcBorders>
            <w:vAlign w:val="center"/>
          </w:tcPr>
          <w:p>
            <w:pPr>
              <w:jc w:val="center"/>
            </w:p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76.48分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基本公共卫生服务项目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1.84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55.76%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5.58</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3.30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1.84</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本项目计划投入3.3万元，主要用于支付结核病患者中、晚餐费用及预防传染病突发公共事件报告处理所产生的费用，项目目的实施达到在不断提高基本公共卫生服务水平的同时定期对所有结核病患者开展细致、有针对性的结核病健康教育和心理干预的健康宜教和心理疏导，使患者减轻思想负担及精神压力，保持良好的心态面对疾病及战胜疾病的信心。</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本项目计划投入3.3万元，主要用于支付结核病患者中、晚餐费用及预防传染病突发公共事件报告处理所产生的费用，项目目的实施达到在不断提高基本公共卫生服务水平的同时定期对所有结核病患者开展细致、有针对性的结核病健康教育和心理干预的健康宜教和心理疏导，使患者减轻思想负担及精神压力，保持良好的心态面对疾病及战胜疾病的信心。</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免费提供患者中晚餐人数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&gt;=16人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68.75%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未完成原因为人员不可控，患者住院期间产生的中晚餐免费</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就餐覆盖率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11</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2023年12月19日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中、晚餐报销标准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=35元/人/天</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35元/人/天</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提高基本公共卫生服务水平</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不断提高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受益患者满意度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93.08分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776"/>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引进人才工作项目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9.66</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为了充分保证医疗质量，加快专科队伍的建设和人才梯队的培养步伐，我院坚持人才建设与医院发展相协调，加大“请进来，走出去”的引才力度，与上级医院建立了良好的技术协作关系，定期邀请上级医院骨科、妇科、产科、普外、胃肠镜、儿科、中医理疗等知名专家到我院门诊坐诊、手术指导等。通过特邀请疆内外三甲医院的人才、技术下沉，专家做手术台30次以上、查房10次以上、专家坐诊500人次以上、义诊100人次以上。帮助我院结合实际需求开展新技术新业务，填补医疗技术空白。并以患者需求为中心，不断充实医疗服务内容和项目，提高疑难重症的手术和诊疗水平。不但可以降低患者因转诊需承担的陪护费、车费、食宿费等，同时，也解决了本地医疗卫生专业技术人才短缺和技术落后等实际问题，使患者在家门口就可享受三甲医院知名专家的诊疗服务，切实解决群众看病难、看病贵的问题，使全县人民受益。</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通过邀请疆内外三甲医院的人才、技术下沉，专家做手术台30次、查房10次、专家坐诊500人次、义诊100人次,帮助我院结合实际需求开展新技术新业务，填补医疗技术空白。自治区中医皮肤科和我院签订专科并联盟协议，并有效的提升我院的诊疗能力，以患者需求为中心，不断充实医疗服务内容和项目，提高疑难重症的手术和诊疗水平。不但可以降低患者因转诊需承担的陪护费、车费、食宿费等，同时，也解决了本地医疗卫生专业技术人才短缺和技术落后等实际问题，使患者在家门口就可享受三甲医院知名专家的诊疗服务，切实解决群众看病难、看病贵的问题，使全县人民受益。</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手术台次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&gt;=30次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查房次数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专家坐诊人次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&gt;=500人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500人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义诊人次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医疗废物处理率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说明材料,原始凭证,正式材料,工作资料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5.79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2024年12月17日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96.55%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5.79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邀请专家服务劳务费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邀请专家服务差旅费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&lt;=50万元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46.55万元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9.31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提高疑难重症的手术和诊疗水平</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说明材料,工作资料,正式材料,原始凭证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98.55分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7"/>
        <w:gridCol w:w="622"/>
        <w:gridCol w:w="622"/>
        <w:gridCol w:w="622"/>
        <w:gridCol w:w="776"/>
        <w:gridCol w:w="622"/>
        <w:gridCol w:w="631"/>
        <w:gridCol w:w="625"/>
        <w:gridCol w:w="622"/>
        <w:gridCol w:w="625"/>
        <w:gridCol w:w="631"/>
        <w:gridCol w:w="776"/>
        <w:gridCol w:w="631"/>
        <w:gridCol w:w="628"/>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裕民县2024年自治区全民健康体检</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185.75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59.72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51.36</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86.00%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8.60</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185.75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59.72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51.36</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本项目计划投入59.72万元，主要用于对辖区所有户籍人口和居住超过半年以上疆内户籍流动人口（不含兵团人口）11020以上人员进行体检所使用的检验试剂及体检项目相关费用的支出，达到充分发挥全民健康体检在提高人民健康水平、推动经济社会发展等方面的综合价值与多元功能;要加强统筹协调,统一谋划部署,将全民健康体检工作与乡村振兴战略、健康新疆行动、紧密型县域医共体建设等紧密结合,确保组织领导、任务分解、工作力量“三到位”,形成统筹推进、相互促进的工作格局。</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本项目计划投入59.72万元，实际支出51.36万元主要用于对辖区所有户籍人口和居住超过半年以上疆内户籍流动人口（不含兵团人口）10367人进行体检所使用的检验试剂费用的支出，达到充分发挥全民健康体检在提高人民健康水平、推动经济社会发展等方面的综合价值与多元功能;要加强统筹协调,统一谋划部署,将全民健康体检工作与乡村振兴战略、健康新疆行动、紧密型县域医共体建设等紧密结合,确保组织领导、任务分解、工作力量“三到位”,形成统筹推进、相互促进的工作格局。</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全民健康体检受益人数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&gt;=11020人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5167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10367人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94.07%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5.64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预算基于年初分配资金数据人数，后期资金有所调减导致数据下降</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全民健康体检覆盖率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居民健康档案规范化电子建档率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2023年12月20日前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2024年10月25日前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人均补助标准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=71.17元/人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71.17元/人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补助学生血红蛋白经费标准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无此项指标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4元/人</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保障全民健康体检工作正常开展</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全民体检人员满意度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正式材料,原始凭证,说明材料,工作资料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98.24分</w:t>
            </w:r>
          </w:p>
        </w:tc>
        <w:tc>
          <w:tcPr>
            <w:tcW w:w="632" w:type="dxa"/>
            <w:tcBorders>
              <w:top w:val="single" w:color="auto" w:sz="10" w:space="0"/>
              <w:bottom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8"/>
        <w:gridCol w:w="622"/>
        <w:gridCol w:w="622"/>
        <w:gridCol w:w="622"/>
        <w:gridCol w:w="776"/>
        <w:gridCol w:w="622"/>
        <w:gridCol w:w="625"/>
        <w:gridCol w:w="625"/>
        <w:gridCol w:w="622"/>
        <w:gridCol w:w="626"/>
        <w:gridCol w:w="632"/>
        <w:gridCol w:w="777"/>
        <w:gridCol w:w="632"/>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裕民县人民医院重大公共卫生服务项目</w:t>
            </w:r>
          </w:p>
        </w:tc>
      </w:tr>
      <w:tr>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bottom w:val="single" w:color="auto" w:sz="10" w:space="0"/>
              <w:insideV w:val="single" w:sz="10" w:space="0"/>
            </w:tcBorders>
            <w:vAlign w:val="center"/>
          </w:tcPr>
          <w:p>
            <w:pPr>
              <w:jc w:val="center"/>
            </w:pPr>
            <w:r>
              <w:rPr>
                <w:rFonts w:ascii="宋体" w:hAnsi="宋体" w:eastAsia="宋体"/>
                <w:sz w:val="16"/>
              </w:rPr>
              <w:t>裕民县人民医院</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bottom w:val="single" w:color="auto" w:sz="10" w:space="0"/>
              <w:insideV w:val="single" w:sz="10" w:space="0"/>
            </w:tcBorders>
            <w:vAlign w:val="center"/>
          </w:tcPr>
          <w:p>
            <w:pPr>
              <w:jc w:val="center"/>
            </w:p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37.82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37.82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21.25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56.19%</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5.62</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37.82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37.82</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21.25</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c>
          <w:tcPr>
            <w:tcW w:w="632" w:type="dxa"/>
            <w:vMerge w:val="continue"/>
            <w:tcBorders>
              <w:top w:val="single" w:color="auto" w:sz="10" w:space="0"/>
              <w:bottom w:val="single" w:color="auto" w:sz="10" w:space="0"/>
              <w:insideV w:val="single" w:sz="10" w:space="0"/>
            </w:tcBorders>
          </w:tcP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bottom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bottom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4424" w:type="dxa"/>
            <w:gridSpan w:val="7"/>
            <w:tcBorders>
              <w:top w:val="single" w:color="auto" w:sz="10" w:space="0"/>
              <w:bottom w:val="single" w:color="auto" w:sz="10" w:space="0"/>
              <w:insideV w:val="single" w:sz="10" w:space="0"/>
            </w:tcBorders>
            <w:vAlign w:val="center"/>
          </w:tcPr>
          <w:p>
            <w:pPr>
              <w:jc w:val="both"/>
            </w:pPr>
            <w:r>
              <w:rPr>
                <w:rFonts w:ascii="宋体" w:hAnsi="宋体" w:eastAsia="宋体"/>
                <w:sz w:val="16"/>
              </w:rPr>
              <w:t>坚持作为重要的民生工程和民生大事，完成全部符合结核病条件患者的治疗目标，扎实做好疾病治疗工作使患者应诊应治，医护人员对各乡场下乡服务宣传次数不少于40次。扎实做好患者分类治疗工作,确保了就诊患者在定点医院“无预约、无等候、零支付”就诊。</w:t>
            </w:r>
          </w:p>
        </w:tc>
        <w:tc>
          <w:tcPr>
            <w:tcW w:w="3792" w:type="dxa"/>
            <w:gridSpan w:val="6"/>
            <w:tcBorders>
              <w:top w:val="single" w:color="auto" w:sz="10" w:space="0"/>
              <w:bottom w:val="single" w:color="auto" w:sz="10" w:space="0"/>
              <w:insideV w:val="single" w:sz="10" w:space="0"/>
            </w:tcBorders>
            <w:vAlign w:val="center"/>
          </w:tcPr>
          <w:p>
            <w:pPr>
              <w:jc w:val="both"/>
            </w:pPr>
            <w:r>
              <w:rPr>
                <w:rFonts w:ascii="宋体" w:hAnsi="宋体" w:eastAsia="宋体"/>
                <w:sz w:val="16"/>
              </w:rPr>
              <w:t>坚持作为重要的民生工程和民生大事，完成全部符合结核病条件患者的治疗目标，扎实做好疾病治疗工作使患者应诊应治，医护人员对各乡场下乡服务宣传40次。扎实做好患者分类治疗工作,确保了就诊患者在定点医院“无预约、无等候、零支付”就诊。用于结核病患者的交通费用、医生的管理经费、免费营养早餐的费用、隔离患者的中晚餐费用、网络上报的费用、痰检的费用及各种痰培养的经费等支出，项目目的实施达到稳步提升提升居民健康水平及提高居民健康保健意识的效果。</w:t>
            </w:r>
          </w:p>
        </w:tc>
      </w:tr>
      <w:tr>
        <w:tblPrEx>
          <w:tblCellMar>
            <w:top w:w="0" w:type="dxa"/>
            <w:left w:w="108" w:type="dxa"/>
            <w:bottom w:w="0" w:type="dxa"/>
            <w:right w:w="108" w:type="dxa"/>
          </w:tblCellMar>
        </w:tblPrEx>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病原学阳性肺结核患者耐药筛查率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病原学阳性肺结核患者密切接触者检查率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下乡服务宣传次数</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&gt;=40次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40次</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档案规范化电子建档率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疾病治疗率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说明材料,正式材料,工作资料,原始凭证</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资金支付完成时间</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2024年12月23日</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接诊及时率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bottom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专用材料费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&lt;=8.17万元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原始凭证,说明材料,工作资料,正式材料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7.17万元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87.76%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6.14</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医疗补助费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&lt;=8.50万元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3.12万元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36.71%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2.57</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年初预算估计的医疗补助费用，与实际有差异</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劳务费</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&lt;=21.15万元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10.96万元</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51.82%</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3.11</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年初预算估计的医疗补助费用，与实际有差异</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逐步提高居民健康保健意识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逐步提高</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20%以内属于正常偏差，可视为无偏差</w:t>
            </w:r>
          </w:p>
        </w:tc>
      </w:tr>
      <w:tr>
        <w:tblPrEx>
          <w:tblCellMar>
            <w:top w:w="0" w:type="dxa"/>
            <w:left w:w="108" w:type="dxa"/>
            <w:bottom w:w="0" w:type="dxa"/>
            <w:right w:w="108" w:type="dxa"/>
          </w:tblCellMar>
        </w:tblPrEx>
        <w:tc>
          <w:tcPr>
            <w:tcW w:w="632" w:type="dxa"/>
            <w:vMerge w:val="continue"/>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服务患者满意度</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说明材料,原始凭证,工作资料,正式材料</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bottom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bottom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tcPr>
          <w:p/>
        </w:tc>
        <w:tc>
          <w:tcPr>
            <w:tcW w:w="632" w:type="dxa"/>
            <w:tcBorders>
              <w:top w:val="single" w:color="auto" w:sz="10" w:space="0"/>
              <w:bottom w:val="single" w:color="auto" w:sz="10" w:space="0"/>
              <w:insideV w:val="single" w:sz="10" w:space="0"/>
            </w:tcBorders>
            <w:vAlign w:val="center"/>
          </w:tcPr>
          <w:p>
            <w:pPr>
              <w:jc w:val="center"/>
            </w:pPr>
            <w:r>
              <w:rPr>
                <w:rFonts w:ascii="宋体" w:hAnsi="宋体" w:eastAsia="宋体"/>
                <w:sz w:val="16"/>
              </w:rPr>
              <w:t>85.44分</w:t>
            </w:r>
          </w:p>
        </w:tc>
        <w:tc>
          <w:tcPr>
            <w:tcW w:w="632" w:type="dxa"/>
            <w:tcBorders>
              <w:top w:val="single" w:color="auto" w:sz="10" w:space="0"/>
              <w:bottom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976189"/>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56</TotalTime>
  <ScaleCrop>false</ScaleCrop>
  <LinksUpToDate>false</LinksUpToDate>
  <CharactersWithSpaces>547</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2025-09-29T09:14:23Z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