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中共裕民县委政法委员会2024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中共裕民县委政法委员会是县委领导、管理政法工作的职能部门。</w:t>
      </w:r>
    </w:p>
    <w:p>
      <w:pPr>
        <w:spacing w:line="580" w:lineRule="exact"/>
        <w:ind w:firstLine="640"/>
        <w:jc w:val="both"/>
      </w:pPr>
      <w:r>
        <w:rPr>
          <w:rFonts w:ascii="仿宋_GB2312" w:hAnsi="仿宋_GB2312" w:eastAsia="仿宋_GB2312"/>
          <w:sz w:val="32"/>
        </w:rPr>
        <w:t>1、根据中央的路线、方针、政策和县委的工作部署，统一政法各部门的思想和行动。</w:t>
      </w:r>
    </w:p>
    <w:p>
      <w:pPr>
        <w:spacing w:line="580" w:lineRule="exact"/>
        <w:ind w:firstLine="640"/>
        <w:jc w:val="both"/>
      </w:pPr>
      <w:r>
        <w:rPr>
          <w:rFonts w:ascii="仿宋_GB2312" w:hAnsi="仿宋_GB2312" w:eastAsia="仿宋_GB2312"/>
          <w:sz w:val="32"/>
        </w:rPr>
        <w:t>2、协助党委研究制定政法工作的方针、政策，对一定时期内的政法工作作出全局性部署，并督促贯彻落实。</w:t>
      </w:r>
    </w:p>
    <w:p>
      <w:pPr>
        <w:spacing w:line="580" w:lineRule="exact"/>
        <w:ind w:firstLine="640"/>
        <w:jc w:val="both"/>
      </w:pPr>
      <w:r>
        <w:rPr>
          <w:rFonts w:ascii="仿宋_GB2312" w:hAnsi="仿宋_GB2312" w:eastAsia="仿宋_GB2312"/>
          <w:sz w:val="32"/>
        </w:rPr>
        <w:t>3、组织协调指导维护社会工作，支持和监督政法各部门依法行使职权。</w:t>
      </w:r>
    </w:p>
    <w:p>
      <w:pPr>
        <w:spacing w:line="580" w:lineRule="exact"/>
        <w:ind w:firstLine="640"/>
        <w:jc w:val="both"/>
      </w:pPr>
      <w:r>
        <w:rPr>
          <w:rFonts w:ascii="仿宋_GB2312" w:hAnsi="仿宋_GB2312" w:eastAsia="仿宋_GB2312"/>
          <w:sz w:val="32"/>
        </w:rPr>
        <w:t>4、督促、推动大要案的查处工作，研究和协调有争议的重大、疑难案件。</w:t>
      </w:r>
    </w:p>
    <w:p>
      <w:pPr>
        <w:spacing w:line="580" w:lineRule="exact"/>
        <w:ind w:firstLine="640"/>
        <w:jc w:val="both"/>
      </w:pPr>
      <w:r>
        <w:rPr>
          <w:rFonts w:ascii="仿宋_GB2312" w:hAnsi="仿宋_GB2312" w:eastAsia="仿宋_GB2312"/>
          <w:sz w:val="32"/>
        </w:rPr>
        <w:t>5、组织推动社会治安综合治理和政法战线的调查研究工作，推动政法工作改革。</w:t>
      </w:r>
    </w:p>
    <w:p>
      <w:pPr>
        <w:spacing w:line="580" w:lineRule="exact"/>
        <w:ind w:firstLine="640"/>
        <w:jc w:val="both"/>
      </w:pPr>
      <w:r>
        <w:rPr>
          <w:rFonts w:ascii="仿宋_GB2312" w:hAnsi="仿宋_GB2312" w:eastAsia="仿宋_GB2312"/>
          <w:sz w:val="32"/>
        </w:rPr>
        <w:t>6、研究、指导政法队伍建设和政法各部门领导班子建设，指导地方政法委员会的工作。</w:t>
      </w:r>
    </w:p>
    <w:p>
      <w:pPr>
        <w:spacing w:line="580" w:lineRule="exact"/>
        <w:ind w:firstLine="640"/>
        <w:jc w:val="both"/>
      </w:pPr>
      <w:r>
        <w:rPr>
          <w:rFonts w:ascii="仿宋_GB2312" w:hAnsi="仿宋_GB2312" w:eastAsia="仿宋_GB2312"/>
          <w:sz w:val="32"/>
        </w:rPr>
        <w:t>7、完成上级部门交办的其他任务。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中共裕民县委政法委员会2024年度，实有人数22人，其中：在职人员16人，减少1人；离休人员0人，增加0人；退休人员6人,增加0人。</w:t>
      </w:r>
    </w:p>
    <w:p>
      <w:pPr>
        <w:spacing w:line="580" w:lineRule="exact"/>
        <w:ind w:firstLine="640"/>
        <w:jc w:val="both"/>
      </w:pPr>
      <w:r>
        <w:rPr>
          <w:rFonts w:ascii="仿宋_GB2312" w:hAnsi="仿宋_GB2312" w:eastAsia="仿宋_GB2312"/>
          <w:sz w:val="32"/>
        </w:rPr>
        <w:t>中共裕民县委政法委员会无下属预算单位，下设3个科室，分别是：中共裕民县委政法委员会、网格化服务管理中心、裕民县指挥中心。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2024年度收入总计782.70万元，</w:t>
      </w:r>
      <w:r>
        <w:rPr>
          <w:rFonts w:ascii="仿宋_GB2312" w:hAnsi="仿宋_GB2312" w:eastAsia="仿宋_GB2312"/>
          <w:b w:val="0"/>
          <w:sz w:val="32"/>
        </w:rPr>
        <w:t>其中：本年收入合计782.70万元，使用非财政拨款结余（含专用结余）0.00万元，年初结转和结余0.00万元。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2024年度支出总计782.70万元，</w:t>
      </w:r>
      <w:r>
        <w:rPr>
          <w:rFonts w:ascii="仿宋_GB2312" w:hAnsi="仿宋_GB2312" w:eastAsia="仿宋_GB2312"/>
          <w:b w:val="0"/>
          <w:sz w:val="32"/>
        </w:rPr>
        <w:t>其中：本年支出合计782.70万元，结余分配0.00万元，年末结转和结余0.00万元。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减少4,489.52万元，下降85.15%，主要原因是：2024年减少视频建设项目欠款。</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本年收入782.70万元，</w:t>
      </w:r>
      <w:r>
        <w:rPr>
          <w:rFonts w:ascii="仿宋_GB2312" w:hAnsi="仿宋_GB2312" w:eastAsia="仿宋_GB2312"/>
          <w:b w:val="0"/>
          <w:sz w:val="32"/>
        </w:rPr>
        <w:t>其中：财政拨款收入721.70万元，占92.21%；上级补助收入0.00万元，占0.00%；事业收入0.00万元，占0.00%；经营收入0.00万元，占0.00%；附属单位上缴收入0.00万元，占0.00%；其他收入61.00万元，占7.79%。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本年支出782.70万元，</w:t>
      </w:r>
      <w:r>
        <w:rPr>
          <w:rFonts w:ascii="仿宋_GB2312" w:hAnsi="仿宋_GB2312" w:eastAsia="仿宋_GB2312"/>
          <w:b w:val="0"/>
          <w:sz w:val="32"/>
        </w:rPr>
        <w:t>其中：基本支出389.47万元，占49.76%；项目支出393.23万元，占50.24%；上缴上级支出0.00万元，占0.00%；经营支出0.00万元，占0.00%；对附属单位补助支出0.00万元，占0.00%。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2024年度财政拨款收入总计721.70万元，</w:t>
      </w:r>
      <w:r>
        <w:rPr>
          <w:rFonts w:ascii="仿宋_GB2312" w:hAnsi="仿宋_GB2312" w:eastAsia="仿宋_GB2312"/>
          <w:b w:val="0"/>
          <w:sz w:val="32"/>
        </w:rPr>
        <w:t>其中：年初财政拨款结转和结余0.00万元，本年财政拨款收入721.70万元。</w:t>
      </w:r>
      <w:r>
        <w:rPr>
          <w:rFonts w:ascii="仿宋_GB2312" w:hAnsi="仿宋_GB2312" w:eastAsia="仿宋_GB2312"/>
          <w:b/>
          <w:sz w:val="32"/>
        </w:rPr>
        <w:t>财政拨款支出总计721.70万元，</w:t>
      </w:r>
      <w:r>
        <w:rPr>
          <w:rFonts w:ascii="仿宋_GB2312" w:hAnsi="仿宋_GB2312" w:eastAsia="仿宋_GB2312"/>
          <w:b w:val="0"/>
          <w:sz w:val="32"/>
        </w:rPr>
        <w:t>其中：年末财政拨款结转和结余0.00万元，本年财政拨款支出721.70万元。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减少4,545.66万元，下降86.30%，主要原因是：2024年减少视频建设项目欠款。</w:t>
      </w:r>
      <w:r>
        <w:rPr>
          <w:rFonts w:ascii="仿宋_GB2312" w:hAnsi="仿宋_GB2312" w:eastAsia="仿宋_GB2312"/>
          <w:b/>
          <w:sz w:val="32"/>
        </w:rPr>
        <w:t>与年初预算相比，</w:t>
      </w:r>
      <w:r>
        <w:rPr>
          <w:rFonts w:ascii="仿宋_GB2312" w:hAnsi="仿宋_GB2312" w:eastAsia="仿宋_GB2312"/>
          <w:b w:val="0"/>
          <w:sz w:val="32"/>
        </w:rPr>
        <w:t>年初预算数801.82万元，决算数721.70万元，预决算差异率-9.99%，主要原因是：在职人员减少1人，年中调减人员经费；2020年项目前期费年中调整为其他收入，导致预决算差异。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2024年度一般公共预算财政拨款支出721.70万元，</w:t>
      </w:r>
      <w:r>
        <w:rPr>
          <w:rFonts w:ascii="仿宋_GB2312" w:hAnsi="仿宋_GB2312" w:eastAsia="仿宋_GB2312"/>
          <w:b w:val="0"/>
          <w:sz w:val="32"/>
        </w:rPr>
        <w:t>占本年支出合计的92.21%。</w:t>
      </w:r>
      <w:r>
        <w:rPr>
          <w:rFonts w:ascii="仿宋_GB2312" w:hAnsi="仿宋_GB2312" w:eastAsia="仿宋_GB2312"/>
          <w:b/>
          <w:sz w:val="32"/>
        </w:rPr>
        <w:t>与上年相比，</w:t>
      </w:r>
      <w:r>
        <w:rPr>
          <w:rFonts w:ascii="仿宋_GB2312" w:hAnsi="仿宋_GB2312" w:eastAsia="仿宋_GB2312"/>
          <w:b w:val="0"/>
          <w:sz w:val="32"/>
        </w:rPr>
        <w:t>减少4,545.66万元，下降86.30%，主要原因是：2024年减少视频建设项目欠款。</w:t>
      </w:r>
      <w:r>
        <w:rPr>
          <w:rFonts w:ascii="仿宋_GB2312" w:hAnsi="仿宋_GB2312" w:eastAsia="仿宋_GB2312"/>
          <w:b/>
          <w:sz w:val="32"/>
        </w:rPr>
        <w:t>与年初预算相比,</w:t>
      </w:r>
      <w:r>
        <w:rPr>
          <w:rFonts w:ascii="仿宋_GB2312" w:hAnsi="仿宋_GB2312" w:eastAsia="仿宋_GB2312"/>
          <w:b w:val="0"/>
          <w:sz w:val="32"/>
        </w:rPr>
        <w:t>年初预算数801.82万元，决算数721.70万元，预决算差异率-9.99%，主要原因是：在职人员减少1人，年中调减人员经费；2020年项目前期费年中调整为其他收入，导致预决算差异。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1.公共安全支出(类)651.29万元,占90.24%。</w:t>
      </w:r>
    </w:p>
    <w:p>
      <w:pPr>
        <w:spacing w:line="580" w:lineRule="exact"/>
        <w:ind w:firstLine="640"/>
        <w:jc w:val="both"/>
      </w:pPr>
      <w:r>
        <w:rPr>
          <w:rFonts w:ascii="仿宋_GB2312" w:hAnsi="仿宋_GB2312" w:eastAsia="仿宋_GB2312"/>
          <w:b w:val="0"/>
          <w:sz w:val="32"/>
        </w:rPr>
        <w:t>2.社会保障和就业支出(类)33.87万元,占4.69%。</w:t>
      </w:r>
    </w:p>
    <w:p>
      <w:pPr>
        <w:spacing w:line="580" w:lineRule="exact"/>
        <w:ind w:firstLine="640"/>
        <w:jc w:val="both"/>
      </w:pPr>
      <w:r>
        <w:rPr>
          <w:rFonts w:ascii="仿宋_GB2312" w:hAnsi="仿宋_GB2312" w:eastAsia="仿宋_GB2312"/>
          <w:b w:val="0"/>
          <w:sz w:val="32"/>
        </w:rPr>
        <w:t>3.卫生健康支出(类)14.54万元,占2.01%。</w:t>
      </w:r>
    </w:p>
    <w:p>
      <w:pPr>
        <w:spacing w:line="580" w:lineRule="exact"/>
        <w:ind w:firstLine="640"/>
        <w:jc w:val="both"/>
      </w:pPr>
      <w:r>
        <w:rPr>
          <w:rFonts w:ascii="仿宋_GB2312" w:hAnsi="仿宋_GB2312" w:eastAsia="仿宋_GB2312"/>
          <w:b w:val="0"/>
          <w:sz w:val="32"/>
        </w:rPr>
        <w:t>4.住房保障支出(类)22.01万元,占3.05%。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1.公共安全支出(类)公安(款)行政运行(项):支出决算数为319.06万元，比上年决算减少5.81万元，下降1.79%,主要原因是：在职人员减少1人，人员经费支出减少。</w:t>
      </w:r>
    </w:p>
    <w:p>
      <w:pPr>
        <w:spacing w:line="580" w:lineRule="exact"/>
        <w:ind w:firstLine="640"/>
        <w:jc w:val="both"/>
      </w:pPr>
      <w:r>
        <w:rPr>
          <w:rFonts w:ascii="仿宋_GB2312" w:hAnsi="仿宋_GB2312" w:eastAsia="仿宋_GB2312"/>
          <w:b w:val="0"/>
          <w:sz w:val="32"/>
        </w:rPr>
        <w:t>2.公共安全支出(类)公安(款)其他公安支出(项):支出决算数为332.23万元，比上年决算减少4,548.10万元，下降93.19%,主要原因是：2024年减少视频建设项目欠款。</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3.社会保障和就业支出(类)行政事业单位养老支出(款)行政单位离退休(项):支出决算数为5.33万元，比上年决算增加1.15万元，增长27.51%,主要原因是：本年增加退休人员基础绩效奖，退休费支出增加。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28.54万元，比上年决算增加3.02万元，增长11.83%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5.卫生健康支出(类)行政事业单位医疗(款)行政单位医疗(项):支出决算数为11.87万元，比上年决算增加1.17万元，增长10.93%,主要原因是：本年在职人员工资基数调增，医疗缴费基数上涨，相应支出增加。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6.卫生健康支出(类)行政事业单位医疗(款)公务员医疗补助(项):支出决算数为2.67万元，比上年决算增加0.60万元，增长28.99%,主要原因是：本年在职人员工资基数调增，医疗缴费基数上涨，相应支出增加。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7.住房保障支出(类)住房改革支出(款)住房公积金(项):支出决算数为22.01万元，比上年决算增加2.33万元，增长11.84%,主要原因是：本年在职人员工资基数调增，公积金缴费基数上涨，相应支出增加。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2024年度一般公共预算财政拨款基本支出389.47万元，其中：</w:t>
      </w:r>
      <w:r>
        <w:rPr>
          <w:rFonts w:ascii="仿宋_GB2312" w:hAnsi="仿宋_GB2312" w:eastAsia="仿宋_GB2312"/>
          <w:b/>
          <w:sz w:val="32"/>
        </w:rPr>
        <w:t>人员经费371.05万元，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公用经费18.43万元，</w:t>
      </w:r>
      <w:r>
        <w:rPr>
          <w:rFonts w:ascii="仿宋_GB2312" w:hAnsi="仿宋_GB2312" w:eastAsia="仿宋_GB2312"/>
          <w:b w:val="0"/>
          <w:sz w:val="32"/>
        </w:rPr>
        <w:t>包括：办公费、电费、邮电费、取暖费、工会经费、公务用车运行维护费、其他商品和服务支出。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2024年度财政拨款“三公”经费支出2.82万元，</w:t>
      </w:r>
      <w:r>
        <w:rPr>
          <w:rFonts w:ascii="仿宋_GB2312" w:hAnsi="仿宋_GB2312" w:eastAsia="仿宋_GB2312"/>
          <w:b w:val="0"/>
          <w:sz w:val="32"/>
        </w:rPr>
        <w:t>比上年增加2.48万元，增长729.41%，主要原因是：本单位公务用车老化，维修维护成本增加，本年支付以前年度公务用车维修费。本年业务量大，用车次数增加，燃油费增加，导致公务用车运行维护费较上年增加。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2.82万元，占100.00%，比上年增加2.48万元，增长729.41%，主要原因是：本单位公务用车老化，维修维护成本增加，本年支付以前年度公务用车维修费。本年业务量大，用车次数增加，燃油费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2.82万元，其中：公务用车购置费0.00万元，公务用车运行维护费2.82万元。公务用车运行维护费开支内容包括车辆加油费、维修费、保险费。公务用车购置数0辆，公务用车保有量1辆。国有资产占用情况中固定资产车辆11辆，与公务用车保有量差异原因是：差异车辆为一般业务用车，借用裕民县边防事务中心使用，车辆费用由使用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2.82万元，决算数2.82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2.82万元，决算数2.82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2024年度中共裕民县委政法委员会（行政单位和参照公务员法管理事业单位）机关运行经费支出18.43万元，比上年增加7.53万元，增长69.08%，主要原因是：2024年办公费、差旅费支出增加，机关运行经费支出增加。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11辆，价值105.21万元，其中：副部（省）级及以上领导用车0辆、主要负责人用车0辆、机要通信用车0辆、应急保障用车0辆、执法执勤用车0辆、特种专业技术用车0辆、离退休干部服务用车0辆、其他用车11辆，其他用车主要是：一般公务用车1辆，业务用车10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782.69万元，实际执行总额782.69万元；预算绩效评价项目0个，全年预算数0.00万元，全年执行数0.00万元。预算绩效管理取得的成效：本单位预算绩效项目涉密不予公开。发现的问题及原因：本单位预算绩效项目涉密不予公开。下一步改进措施：本单位预算绩效项目涉密不予公开。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中共裕民县委政法委员会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801.82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782.69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782.69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801.82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721.69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721.69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根据年初绩效工作要求，树立“花钱必问效、无效必问责”的绩效理念，发挥单位预算绩效管理主体责任，完善内部管理机制，强化财务管理机制，开展项目绩效监控工作。单位成立项目资金使用领导小组，规范单位绩效管控措施，确保实施方案的有效性。根据项目进度和验收情况支付，确保专项资金发挥最大效用。</w:t>
              <w:br/>
              <w:br/>
              <w:t>根据中央、自治区、地区政法综治工作要求，全面做好全县综合治理常态化工作，指挥部各中心工作、平安建设工作需要，做好全年财务预算和支付工作，有办公经费、人员出差、伙食费、办公车辆加油、日常办公用电等费用，县财政部门拨款给予保障，确保各中心工作正常有序开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各项培训工作顺利进行，共组织干部参加廉政教育培训4次，开展干部队伍的建设业务培训3次，积极完成各项培训学习任务，每季度开展业务培训。开展平安建设宣传活动4次，专项宣传活动次数4次，普法宣传活动4次。较好的完成了各项宣传工作。做好全年人员经费、公用经费支付工作，确保各中心工作正常有序开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综治中心运行维护</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平安建设培训宣传</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专项宣传活动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普法宣传活动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宣传培训覆盖率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运行维护及时率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本单位2024年度无政府采购支出，授予中小企业合同金额0.00万元。本年本单位SM项目4个，全年预算数240.62万元，全年执行数240.62万元。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