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8"/>
          <w:sz w:val="32"/>
        </w:rPr>
      </w:pPr>
      <w:r>
        <w:rPr>
          <w:rFonts w:ascii="仿宋_GB2312" w:hAnsi="仿宋_GB2312" w:eastAsia="仿宋_GB2312"/>
          <w:w w:val="98"/>
          <w:sz w:val="32"/>
        </w:rPr>
        <w:t>(1)加强马克思主义基本理论研究，重点研究宣传习近平新时代中国特色社会主义思想；培训各级党政领导干部、公务员、事业单位领导人员、年轻干部、理论宣传骨干、高层次人才、基层干部、党员；承办县委</w:t>
      </w:r>
      <w:r>
        <w:rPr>
          <w:rFonts w:hint="eastAsia" w:ascii="仿宋_GB2312" w:hAnsi="仿宋_GB2312" w:eastAsia="仿宋_GB2312"/>
          <w:w w:val="98"/>
          <w:sz w:val="32"/>
          <w:lang w:eastAsia="zh-CN"/>
        </w:rPr>
        <w:t>、县</w:t>
      </w:r>
      <w:r>
        <w:rPr>
          <w:rFonts w:ascii="仿宋_GB2312" w:hAnsi="仿宋_GB2312" w:eastAsia="仿宋_GB2312"/>
          <w:w w:val="98"/>
          <w:sz w:val="32"/>
        </w:rPr>
        <w:t>政府以及相关部门举办的专题培训班。</w:t>
      </w:r>
    </w:p>
    <w:p>
      <w:pPr>
        <w:spacing w:line="580" w:lineRule="exact"/>
        <w:ind w:firstLine="640"/>
        <w:jc w:val="both"/>
      </w:pPr>
      <w:r>
        <w:rPr>
          <w:rFonts w:ascii="仿宋_GB2312" w:hAnsi="仿宋_GB2312" w:eastAsia="仿宋_GB2312"/>
          <w:sz w:val="32"/>
        </w:rPr>
        <w:t>(2)负责党校教师聘任和队伍建设，建立健全各项规章制度；从党校自身工作特点出发，切实加强党校的自身建设。</w:t>
      </w:r>
    </w:p>
    <w:p>
      <w:pPr>
        <w:spacing w:line="580" w:lineRule="exact"/>
        <w:ind w:firstLine="640"/>
        <w:jc w:val="both"/>
      </w:pPr>
      <w:r>
        <w:rPr>
          <w:rFonts w:ascii="仿宋_GB2312" w:hAnsi="仿宋_GB2312" w:eastAsia="仿宋_GB2312"/>
          <w:sz w:val="32"/>
        </w:rPr>
        <w:t>(3)开展与其他县市党校之间教学教研的合作交流。</w:t>
      </w:r>
    </w:p>
    <w:p>
      <w:pPr>
        <w:spacing w:line="580" w:lineRule="exact"/>
        <w:ind w:firstLine="640"/>
        <w:jc w:val="both"/>
      </w:pPr>
      <w:r>
        <w:rPr>
          <w:rFonts w:ascii="仿宋_GB2312" w:hAnsi="仿宋_GB2312" w:eastAsia="仿宋_GB2312"/>
          <w:sz w:val="32"/>
        </w:rPr>
        <w:t>(4)开展重大理论和现实问题研究，主动参与县委关于党校工作政策以及干部培训计划的制定工作，为县委</w:t>
      </w:r>
      <w:r>
        <w:rPr>
          <w:rFonts w:hint="eastAsia" w:ascii="仿宋_GB2312" w:hAnsi="仿宋_GB2312" w:eastAsia="仿宋_GB2312"/>
          <w:sz w:val="32"/>
          <w:lang w:eastAsia="zh-CN"/>
        </w:rPr>
        <w:t>、县</w:t>
      </w:r>
      <w:r>
        <w:rPr>
          <w:rFonts w:ascii="仿宋_GB2312" w:hAnsi="仿宋_GB2312" w:eastAsia="仿宋_GB2312"/>
          <w:sz w:val="32"/>
        </w:rPr>
        <w:t>政府决策咨询提供服务。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中共裕民县委党校2024年度，实有人数41人，其中：在职人员23人，增加8人；离休人员0人，增加0人；退休人员18人,增加1人。</w:t>
      </w:r>
    </w:p>
    <w:p>
      <w:pPr>
        <w:spacing w:line="580" w:lineRule="exact"/>
        <w:ind w:firstLine="640"/>
        <w:jc w:val="both"/>
      </w:pPr>
      <w:r>
        <w:rPr>
          <w:rFonts w:ascii="仿宋_GB2312" w:hAnsi="仿宋_GB2312" w:eastAsia="仿宋_GB2312"/>
          <w:sz w:val="32"/>
        </w:rPr>
        <w:t>中共裕民县委党校无下属预算单位，下设5个科室，分别是：办公室、教务室、教研室、财务室、总务室。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2024年度收入总计1,188.07万元，</w:t>
      </w:r>
      <w:r>
        <w:rPr>
          <w:rFonts w:ascii="仿宋_GB2312" w:hAnsi="仿宋_GB2312" w:eastAsia="仿宋_GB2312"/>
          <w:b w:val="0"/>
          <w:sz w:val="32"/>
        </w:rPr>
        <w:t>其中：本年收入合计1,188.07万元，使用非财政拨款结余（含专用结余）0.00万元，年初结转和结余0.00万元。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2024年度支出总计1,188.07万元，</w:t>
      </w:r>
      <w:r>
        <w:rPr>
          <w:rFonts w:ascii="仿宋_GB2312" w:hAnsi="仿宋_GB2312" w:eastAsia="仿宋_GB2312"/>
          <w:b w:val="0"/>
          <w:sz w:val="32"/>
        </w:rPr>
        <w:t>其中：本年支出合计1,188.07万元，结余分配0.00万元，年末结转和结余0.00万元。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收入支出总体与上年相比，减少2,853.51万元，下降70.60%，主要原因是：本年小白杨干部教育培训基地资金和中央预算资金（党校基础设施建设）项目资金较上年减少。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本年收入1,188.07万元，</w:t>
      </w:r>
      <w:r>
        <w:rPr>
          <w:rFonts w:ascii="仿宋_GB2312" w:hAnsi="仿宋_GB2312" w:eastAsia="仿宋_GB2312"/>
          <w:b w:val="0"/>
          <w:sz w:val="32"/>
        </w:rPr>
        <w:t>其中：财政拨款收入1,121.25万元，占94.38%；上级补助收入0.00万元，占0.00%；事业收入66.83万元，占5.63%；经营收入0.00万元，占0.00%；附属单位上缴收入0.00万元，占0.00%；其他收入0.00万元，占0.00%。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本年支出1,188.07万元，</w:t>
      </w:r>
      <w:r>
        <w:rPr>
          <w:rFonts w:ascii="仿宋_GB2312" w:hAnsi="仿宋_GB2312" w:eastAsia="仿宋_GB2312"/>
          <w:b w:val="0"/>
          <w:sz w:val="32"/>
        </w:rPr>
        <w:t>其中：基本支出492.23万元，占41.43%；项目支出695.84万元，占58.57%；上缴上级支出0.00万元，占0.00%；经营支出0.00万元，占0.00%；对附属单位补助支出0.00万元，占0.00%。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2024年度财政拨款收入总计1,121.25万元，</w:t>
      </w:r>
      <w:r>
        <w:rPr>
          <w:rFonts w:ascii="仿宋_GB2312" w:hAnsi="仿宋_GB2312" w:eastAsia="仿宋_GB2312"/>
          <w:b w:val="0"/>
          <w:sz w:val="32"/>
        </w:rPr>
        <w:t>其中：年初财政拨款结转和结余0.00万元，本年财政拨款收入1,121.25万元。</w:t>
      </w:r>
      <w:r>
        <w:rPr>
          <w:rFonts w:ascii="仿宋_GB2312" w:hAnsi="仿宋_GB2312" w:eastAsia="仿宋_GB2312"/>
          <w:b/>
          <w:sz w:val="32"/>
        </w:rPr>
        <w:t>财政拨款支出总计1,121.25万元，</w:t>
      </w:r>
      <w:r>
        <w:rPr>
          <w:rFonts w:ascii="仿宋_GB2312" w:hAnsi="仿宋_GB2312" w:eastAsia="仿宋_GB2312"/>
          <w:b w:val="0"/>
          <w:sz w:val="32"/>
        </w:rPr>
        <w:t>其中：年末财政拨款结转和结余0.00万元，本年财政拨款支出1,121.25万元。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减少2,885.03万元，下降72.01%，主要原因是：本年小白杨干部教育培训基地资金和中央预算资金（党校基础设施建设）项目资金较上年减少。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年初预算数1,089.76万元，决算数1,121.25万元，预决算差异率2.89%，主要原因是：本年新增人员，年中追加新增人员工资及在职人员工资、社保、公积金基数调增部分资金，导致预决算存在差异。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2024年度一般公共预算财政拨款支出1,121.25万元，</w:t>
      </w:r>
      <w:r>
        <w:rPr>
          <w:rFonts w:ascii="仿宋_GB2312" w:hAnsi="仿宋_GB2312" w:eastAsia="仿宋_GB2312"/>
          <w:b w:val="0"/>
          <w:sz w:val="32"/>
        </w:rPr>
        <w:t>占本年支出合计的94.38%。</w:t>
      </w:r>
      <w:r>
        <w:rPr>
          <w:rFonts w:ascii="仿宋_GB2312" w:hAnsi="仿宋_GB2312" w:eastAsia="仿宋_GB2312"/>
          <w:b/>
          <w:sz w:val="32"/>
        </w:rPr>
        <w:t>与上年相比，</w:t>
      </w:r>
      <w:r>
        <w:rPr>
          <w:rFonts w:ascii="仿宋_GB2312" w:hAnsi="仿宋_GB2312" w:eastAsia="仿宋_GB2312"/>
          <w:b w:val="0"/>
          <w:sz w:val="32"/>
        </w:rPr>
        <w:t>减少2,885.03万元，下降72.01%，主要原因是：本年小白杨干部教育培训基地资金和中央预算资金（党校基础设施建设）项目资金较上年减少。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年初预算数1,089.76万元，决算数1,121.25万元，预决算差异率2.89%，主要原因是：本年新增人员，年中追加新增人员工资及在职人员工资、社保、公积金基数调增部分资金，导致预决算存在差异。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1.教育支出(类)324.30万元,占28.92%。</w:t>
      </w:r>
    </w:p>
    <w:p>
      <w:pPr>
        <w:spacing w:line="580" w:lineRule="exact"/>
        <w:ind w:firstLine="640"/>
        <w:jc w:val="both"/>
      </w:pPr>
      <w:r>
        <w:rPr>
          <w:rFonts w:ascii="仿宋_GB2312" w:hAnsi="仿宋_GB2312" w:eastAsia="仿宋_GB2312"/>
          <w:b w:val="0"/>
          <w:sz w:val="32"/>
        </w:rPr>
        <w:t>2.社会保障和就业支出(类)55.82万元,占4.98%。</w:t>
      </w:r>
    </w:p>
    <w:p>
      <w:pPr>
        <w:spacing w:line="580" w:lineRule="exact"/>
        <w:ind w:firstLine="640"/>
        <w:jc w:val="both"/>
      </w:pPr>
      <w:r>
        <w:rPr>
          <w:rFonts w:ascii="仿宋_GB2312" w:hAnsi="仿宋_GB2312" w:eastAsia="仿宋_GB2312"/>
          <w:b w:val="0"/>
          <w:sz w:val="32"/>
        </w:rPr>
        <w:t>3.卫生健康支出(类)18.35万元,占1.64%。</w:t>
      </w:r>
    </w:p>
    <w:p>
      <w:pPr>
        <w:spacing w:line="580" w:lineRule="exact"/>
        <w:ind w:firstLine="640"/>
        <w:jc w:val="both"/>
      </w:pPr>
      <w:r>
        <w:rPr>
          <w:rFonts w:ascii="仿宋_GB2312" w:hAnsi="仿宋_GB2312" w:eastAsia="仿宋_GB2312"/>
          <w:b w:val="0"/>
          <w:sz w:val="32"/>
        </w:rPr>
        <w:t>4.住房保障支出(类)26.94万元,占2.40%。</w:t>
      </w:r>
    </w:p>
    <w:p>
      <w:pPr>
        <w:spacing w:line="580" w:lineRule="exact"/>
        <w:ind w:firstLine="640"/>
        <w:jc w:val="both"/>
      </w:pPr>
      <w:r>
        <w:rPr>
          <w:rFonts w:ascii="仿宋_GB2312" w:hAnsi="仿宋_GB2312" w:eastAsia="仿宋_GB2312"/>
          <w:b w:val="0"/>
          <w:sz w:val="32"/>
        </w:rPr>
        <w:t>5.其他支出(类)695.84万元,占62.06%。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1.教育支出(类)进修及培训(款)干部教育(项):支出决算数为324.30万元，比上年决算增加122.41万元，增长60.63%,主要原因是：2024年1月-7月新增8人事业人员，人员工资调增，人员经费增加，干部培训费增加。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2.社会保障和就业支出(类)行政事业单位养老支出(款)行政单位离退休(项):支出决算数为14.18万元，比上年决算增加3.88万元，增长37.67%,主要原因是：本年增加退休人员，退休人员基础绩效奖，退休费支出增加。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34.19万元，比上年决算增加7.83万元，增长29.70%,主要原因是：本年在职人员增加，人员工资调增，养老保险缴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4.社会保障和就业支出(类)行政事业单位养老支出(款)机关事业单位职业年金缴费支出(项):支出决算数为7.45万元，比上年决算增加0.39万元，增长5.52%,主要原因是：本年新增退休人员，职业年金缴费支出增加。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5.卫生健康支出(类)行政事业单位医疗(款)行政单位医疗(项):支出决算数为17.01万元，比上年决算增加5.22万元，增长44.27%,主要原因是：本年在职人员增加，人员工资调增，行政单位医疗支出较上年增加。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1.34万元，比上年决算减少0.02万元，下降1.47%,主要原因是：本年行政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7.住房保障支出(类)住房改革支出(款)住房公积金(项):支出决算数为26.94万元，比上年决算增加6.03万元，增长28.84%,主要原因是：本年在职人员增加，人员工资调增，住房公积金支出较上年增加。</w:t>
      </w:r>
    </w:p>
    <w:p>
      <w:pPr>
        <w:spacing w:line="580" w:lineRule="exact"/>
        <w:ind w:firstLine="640"/>
        <w:jc w:val="both"/>
      </w:pPr>
      <w:r>
        <w:rPr>
          <w:rFonts w:ascii="仿宋_GB2312" w:hAnsi="仿宋_GB2312" w:eastAsia="仿宋_GB2312"/>
          <w:b w:val="0"/>
          <w:sz w:val="32"/>
        </w:rPr>
        <w:t>8.其他支出(类)其他支出(款)其他支出(项):支出决算数为695.84万元，比上年决算减少3,030.78万元，下降81.33%,主要原因是：本年小白杨干部教育培训基地资金和中央预算资金（党校基础设施建设）项目资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2024年度一般公共预算财政拨款基本支出425.40万元，其中：</w:t>
      </w:r>
      <w:r>
        <w:rPr>
          <w:rFonts w:ascii="仿宋_GB2312" w:hAnsi="仿宋_GB2312" w:eastAsia="仿宋_GB2312"/>
          <w:b/>
          <w:sz w:val="32"/>
        </w:rPr>
        <w:t>人员经费347.98万元，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公用经费77.42万元，</w:t>
      </w:r>
      <w:r>
        <w:rPr>
          <w:rFonts w:ascii="仿宋_GB2312" w:hAnsi="仿宋_GB2312" w:eastAsia="仿宋_GB2312"/>
          <w:b w:val="0"/>
          <w:sz w:val="32"/>
        </w:rPr>
        <w:t>包括：取暖费、工会经费。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2024年度中共裕民县委党校（行政单位和参照公务员法管理事业单位）机关运行经费支出77.42万元，比上年增加75.12万元，增长3,266.09%，主要原因是：本年在职人员增加，办公费用增加。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2024年度政府采购支出总额7.59万元，其中：政府采购货物支出0.30万元、政府采购工程支出0.00万元、政府采购服务支出7.29万元。</w:t>
      </w:r>
    </w:p>
    <w:p>
      <w:pPr>
        <w:spacing w:line="580" w:lineRule="exact"/>
        <w:ind w:firstLine="640"/>
        <w:jc w:val="both"/>
      </w:pPr>
      <w:r>
        <w:rPr>
          <w:rFonts w:ascii="仿宋_GB2312" w:hAnsi="仿宋_GB2312" w:eastAsia="仿宋_GB2312"/>
          <w:b w:val="0"/>
          <w:sz w:val="32"/>
        </w:rPr>
        <w:t>授予中小企业合同金额7.59万元，占政府采购支出总额的100.00%，其中：授予小微企业合同金额7.59万元，占政府采购支出总额的100.00%。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6,454.85平方米，价值1,289.65万元。车辆1辆，价值1.18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1,188.07万元，实际执行总额1,188.07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中共裕民县委党校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根据裕民县委、县政府对党政干部队伍建设的要求，有计划地培训和轮训全县一般干部、大中型企业、高等院校中相应级别的党员干部，后备干部，理论骨干、高级知识分子及公务员初任培训、任职培训的教学组织、教学科研和教学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2、学习贯彻习近平新时代中国特色社会主义思想，深入学习贯彻党的二十大精神，完整准确贯彻新时代党的治疆方略。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教学工作。一是强化师德师风与教学建设。结合学科与教学科研实际，落实领导讲课制度，构建“专职＋外聘＋兼职”师资体系，充实骨干教师，计划聘客座教授10人次，邀领导干部上讲台不少于40人次。计划开展集体备课10场次、说课试讲10场次，打造精品课程2节，举办精品课、微党课比赛1场次。二是现场教学再打造。不断实现一人多能，保证每个现场教学点有AB岗。今冬对现场教学课开展大练兵。对现有课程进行再打磨再提升。建立学员评课反馈机制，对所有教学点及教师进行评估。三是发挥职能拓展教育平台。开展“菜单式”精准培训，计划严格按照基本培训的要求办中青年干部培训班等主体班次，期，培训党员干部不少于1500人次。抓好理论宣讲，持续“送学上门、送教下乡”，全年宣讲不少于30场次，受训人数达到4000人次。四是完善课程体系构建和专题建设。对当前“十大课程体系，十种教学模式，二十四个现场教学点”进行完善优化提升。结合实际调整专题，如增加走进塔城（裕民）、法律、哲学、生态文明等新专题。五是强化学员管理提升质效。强化学员管理，提升主体班培训质效。做好入学教育，填《学员登记表》、发资料、签《安全承诺书》，报到当晚开展入学教育明确要求，引导学员适应党校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科研工作。一是发挥党校学科组优势，利用党校学科组集聚优势组建专题研究小组。计划调研不少于6次，推出研究论文不少于6篇、资政报告不少于4篇，确保成果高质量且贴合裕民县实际。二是加强内外合作交流。采取“资源共享、优势互补、成果共用”机制，构建跨部门、跨系统、校内外协同发展的学术研究新格局。三是持续优化激励机制。加大经费投入，完善科研管理办法，鼓励教师多发高质量科研成果。四是提高科研课题教学转化量。不定期组织教研与科研交流会议，每季度1次，全年不少于4次。鼓励教师结合教学实践选科研选题，将互动、案例等教学方法融入科研成果，提升学员兴趣和参与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师资队伍建设。一是强化培训学习。制定教师培训计划，把所有教师选派至中央党校、自治区党校、锦州市委党校学习培训，拓宽教师视野，更新知识结构。二是发挥学科组长作用，继续教学专题更新、开发，每名教师每年至少准备1个新专题，并能通过集体备课评审后进课堂。三是不断提升教学水平。建立基地大师资库，充分利用各级党校、高校、援疆、合作院校资源，建立各类优秀教师资源库。成立精品课打造小组和创新实践小组，在实践中提升老师课程构建能力和授课水平。结合“小白杨精神”课程体系，建立备课机制，精心打造每一个专题，对老师量身定制课程，结合每位老师的专业储备和授课的特点，择优专题。树立教研咨一体理念，利用课题和咨政研究，鼓励教师全员参与完善教师授课思维和授课水平。对优秀年轻教师开展基层挂职锻炼。四是充分调动和发挥教师的积极性和主动性，探索各种教学方法，推进研究式教学、案例式教学。定期举办多种形式的教研活动,力争多出精品课程，提高党校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管理服务工作。一是加强办公室综合协调服务。每周组织召开周例会、校委会，一月召开两到三次三重一大会议，确保各项工作顺利推进。二是不断优化设施功能和环境建设。不断完善基地的硬件功能，如图书馆，戍边人物馆、连廊等；创新美化基地的精神文化功能和人文建设。积极争取购买一辆传祺M6(1.5T),七座，指导价11.98万元。三是着力推进品牌打造。完善规范食宿管理运营机制，建立学员合理诉求及时回复机制，规范保安、保洁、食宿、维修等第三方外包服务机制，不断提升运营成效，切实提升后勤管理服务水平。四是提升公文与信息管理水平。严格规范公文处理流程，提高公文处理效率和质量。加强信息收集与报送。五是优化会务与活动组织。开展全校公务礼仪培训，精心筹备各类会议和活动，提高组织水平和服务质量。六是推进档案与资产管理规范化完善档案管理制度，加强档案收集、整理和保管工作，提高档案利用效率，同时加强资产管理，定期清查盘点，确保资产安全完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（五）开放大学工作。一是高度重视招生工作。计划2025年招生100人。二是扩展招生宣传途径。深入机关、乡镇、社区宣传，通过“裕民零距离”抖音号、“小白杨干部教育培训”微信视频号等发布招生信息。</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（六）创新开展“党校姓党、先锋领航”系列活动。一是强化理论武装。深入学习“</w:t>
            </w:r>
            <w:r>
              <w:rPr>
                <w:rFonts w:hint="eastAsia" w:ascii="宋体" w:hAnsi="宋体"/>
                <w:sz w:val="16"/>
                <w:lang w:eastAsia="zh-CN"/>
              </w:rPr>
              <w:t>党的</w:t>
            </w:r>
            <w:bookmarkStart w:id="0" w:name="_GoBack"/>
            <w:bookmarkEnd w:id="0"/>
            <w:r>
              <w:rPr>
                <w:rFonts w:ascii="宋体" w:hAnsi="宋体" w:eastAsia="宋体"/>
                <w:sz w:val="16"/>
              </w:rPr>
              <w:t>二十大精神”“</w:t>
            </w:r>
            <w:r>
              <w:rPr>
                <w:rFonts w:hint="eastAsia" w:ascii="宋体" w:hAnsi="宋体"/>
                <w:sz w:val="16"/>
                <w:lang w:eastAsia="zh-CN"/>
              </w:rPr>
              <w:t>党的</w:t>
            </w:r>
            <w:r>
              <w:rPr>
                <w:rFonts w:ascii="宋体" w:hAnsi="宋体" w:eastAsia="宋体"/>
                <w:sz w:val="16"/>
              </w:rPr>
              <w:t>二十届三中全会精神”、《习近平谈治国理政》，跟进学习习近平总书记最新讲话精神及新时代党的治疆方略，运用“三学三亮三比”行动载体，落实“6项活动”。二是巩固深化党纪学题教育成果，深入学习贯彻习近平新时代中国特色社会主义思想，做到党员干部全覆盖。三是利用裕民县红色资源强化党性教育。四是推行“党旗映天山”主题党日活动。开展“三联三同三送”党日、“三学三亮三比”争当先锋行动、“四微”活动，深化“党建+”系列活动，依托绩效积分制管理办法评选“党校之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对外培训工作。一是强化思想认识。增强责任感、紧迫感和使命感，发扬斗争精神，在提升培训质量和服务标准上发力，推动内涵式发展。二是探索发展思路。成立外培联络协调专班，加大与其他疆内外干部教育培训院校（基地）、高校、各级组织部门（党校）、援疆党校进行沟通联系，专人负责，建立小白杨基地培训联系网络；开展带班班主任、外联部、教务科、办公室人员沟通业务素质训练，为外培工作注入新动力，不断增强营销力。三是加大宣介力度。不断优化宣传册、宣传片、折页等媒介，充分利用微信公众号、视频号等新媒体宣传方式，着力开发文创产品，借助党校学员超市进行运营推广。</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中青年骨干培训班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岗前培训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入党积极分子培训班及其他培训班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&gt;=1200个班次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753A2F"/>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0E4A39"/>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333865"/>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2025-10-17T03:42:28Z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