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裕民县环卫服务中心</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bookmarkStart w:id="4" w:name="_Toc31238"/>
      <w:bookmarkStart w:id="5" w:name="_Toc2151"/>
      <w:r>
        <w:rPr>
          <w:rFonts w:hint="eastAsia" w:ascii="仿宋_GB2312" w:eastAsia="仿宋_GB2312"/>
          <w:color w:val="auto"/>
          <w:sz w:val="32"/>
          <w:szCs w:val="32"/>
          <w:highlight w:val="none"/>
        </w:rPr>
        <w:t>1.负责城市市容环境卫生的管理检查；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2.负责城区内的生活垃圾、工业垃圾及医疗垃圾的统一清运，以及粪便和垃圾无害化处理(处理方式为简易卫生填埋；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3.负责城区街道61万平方米的清扫保洁任务；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4.负责对市政建设施工进行监督检查及市政设施的日常管理，按照上级要求完成</w:t>
      </w:r>
      <w:r>
        <w:rPr>
          <w:rFonts w:hint="eastAsia" w:ascii="仿宋_GB2312" w:eastAsia="仿宋_GB2312"/>
          <w:color w:val="auto"/>
          <w:sz w:val="32"/>
          <w:szCs w:val="32"/>
          <w:highlight w:val="none"/>
          <w:lang w:eastAsia="zh-CN"/>
        </w:rPr>
        <w:t>县</w:t>
      </w:r>
      <w:r>
        <w:rPr>
          <w:rFonts w:hint="eastAsia" w:ascii="仿宋_GB2312" w:eastAsia="仿宋_GB2312"/>
          <w:color w:val="auto"/>
          <w:sz w:val="32"/>
          <w:szCs w:val="32"/>
          <w:highlight w:val="none"/>
        </w:rPr>
        <w:t>城</w:t>
      </w:r>
      <w:r>
        <w:rPr>
          <w:rFonts w:hint="eastAsia" w:ascii="仿宋_GB2312" w:eastAsia="仿宋_GB2312"/>
          <w:color w:val="auto"/>
          <w:sz w:val="32"/>
          <w:szCs w:val="32"/>
          <w:highlight w:val="none"/>
          <w:lang w:eastAsia="zh-CN"/>
        </w:rPr>
        <w:t>市</w:t>
      </w:r>
      <w:r>
        <w:rPr>
          <w:rFonts w:hint="eastAsia" w:ascii="仿宋_GB2312" w:eastAsia="仿宋_GB2312"/>
          <w:color w:val="auto"/>
          <w:sz w:val="32"/>
          <w:szCs w:val="32"/>
          <w:highlight w:val="none"/>
        </w:rPr>
        <w:t>市政道路维护任务；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5.开展城区垃圾处理费的收缴。</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裕民县环卫服务中心</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99</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44</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w:t>
      </w:r>
      <w:r>
        <w:rPr>
          <w:rFonts w:hint="eastAsia" w:ascii="仿宋_GB2312" w:hAnsi="黑体" w:eastAsia="仿宋_GB2312" w:cs="宋体"/>
          <w:bCs/>
          <w:color w:val="auto"/>
          <w:kern w:val="0"/>
          <w:sz w:val="32"/>
          <w:szCs w:val="32"/>
          <w:highlight w:val="none"/>
          <w:lang w:eastAsia="zh-CN"/>
        </w:rPr>
        <w:t>下</w:t>
      </w:r>
      <w:r>
        <w:rPr>
          <w:rFonts w:hint="eastAsia" w:ascii="仿宋_GB2312" w:hAnsi="黑体" w:eastAsia="仿宋_GB2312" w:cs="宋体"/>
          <w:bCs/>
          <w:color w:val="auto"/>
          <w:kern w:val="0"/>
          <w:sz w:val="32"/>
          <w:szCs w:val="32"/>
          <w:highlight w:val="none"/>
        </w:rPr>
        <w:t>设</w:t>
      </w:r>
      <w:r>
        <w:rPr>
          <w:rFonts w:hint="eastAsia" w:ascii="仿宋_GB2312" w:eastAsia="仿宋_GB2312"/>
          <w:color w:val="auto"/>
          <w:sz w:val="32"/>
          <w:szCs w:val="32"/>
          <w:highlight w:val="none"/>
          <w:lang w:val="en-US" w:eastAsia="zh-CN"/>
        </w:rPr>
        <w:t>3</w:t>
      </w:r>
      <w:r>
        <w:rPr>
          <w:rFonts w:hint="eastAsia" w:ascii="仿宋_GB2312" w:hAnsi="黑体" w:eastAsia="仿宋_GB2312" w:cs="宋体"/>
          <w:bCs/>
          <w:color w:val="auto"/>
          <w:kern w:val="0"/>
          <w:sz w:val="32"/>
          <w:szCs w:val="32"/>
          <w:highlight w:val="none"/>
        </w:rPr>
        <w:t>个处室，分别是：书记主任办公室、办公室、财务室</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w:t>
      </w:r>
      <w:r>
        <w:rPr>
          <w:rFonts w:hint="eastAsia" w:ascii="仿宋_GB2312" w:eastAsia="仿宋_GB2312"/>
          <w:b/>
          <w:bCs/>
          <w:color w:val="auto"/>
          <w:spacing w:val="0"/>
          <w:sz w:val="32"/>
          <w:szCs w:val="32"/>
          <w:highlight w:val="none"/>
          <w:lang w:val="en-US" w:eastAsia="zh-CN"/>
        </w:rPr>
        <w:t>收入总计</w:t>
      </w:r>
      <w:r>
        <w:rPr>
          <w:rFonts w:hint="eastAsia" w:ascii="仿宋_GB2312" w:eastAsia="仿宋_GB2312"/>
          <w:b/>
          <w:bCs/>
          <w:color w:val="auto"/>
          <w:spacing w:val="0"/>
          <w:sz w:val="32"/>
          <w:szCs w:val="32"/>
          <w:highlight w:val="none"/>
          <w:lang w:eastAsia="zh-CN"/>
        </w:rPr>
        <w:t>1106.05万元，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1105.98万元，使用非财政拨款结余0.00万元，年初结转和结余0.07万元。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2023</w:t>
      </w:r>
      <w:r>
        <w:rPr>
          <w:rFonts w:hint="eastAsia" w:ascii="仿宋_GB2312" w:eastAsia="仿宋_GB2312"/>
          <w:b/>
          <w:bCs/>
          <w:color w:val="auto"/>
          <w:spacing w:val="0"/>
          <w:sz w:val="32"/>
          <w:szCs w:val="32"/>
          <w:highlight w:val="none"/>
          <w:lang w:eastAsia="zh-CN"/>
        </w:rPr>
        <w:t>年</w:t>
      </w:r>
      <w:r>
        <w:rPr>
          <w:rFonts w:hint="eastAsia" w:ascii="仿宋_GB2312" w:eastAsia="仿宋_GB2312"/>
          <w:b/>
          <w:bCs/>
          <w:color w:val="auto"/>
          <w:spacing w:val="0"/>
          <w:sz w:val="32"/>
          <w:szCs w:val="32"/>
          <w:highlight w:val="none"/>
          <w:lang w:val="en-US" w:eastAsia="zh-CN"/>
        </w:rPr>
        <w:t>度</w:t>
      </w:r>
      <w:r>
        <w:rPr>
          <w:rFonts w:hint="eastAsia" w:ascii="仿宋_GB2312" w:eastAsia="仿宋_GB2312"/>
          <w:b/>
          <w:bCs/>
          <w:color w:val="auto"/>
          <w:spacing w:val="0"/>
          <w:sz w:val="32"/>
          <w:szCs w:val="32"/>
          <w:highlight w:val="none"/>
          <w:lang w:eastAsia="zh-CN"/>
        </w:rPr>
        <w:t>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eastAsia="zh-CN"/>
        </w:rPr>
        <w:t>1106.05万元，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1105.98万元，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0.00万元，年末结转和结余0.07万元。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Times New Roman" w:eastAsia="仿宋_GB2312" w:cs="Times New Roman"/>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收入支出总体</w:t>
      </w:r>
      <w:r>
        <w:rPr>
          <w:rFonts w:hint="eastAsia" w:ascii="仿宋_GB2312" w:hAnsi="Times New Roman" w:eastAsia="仿宋_GB2312" w:cs="Times New Roman"/>
          <w:b/>
          <w:bCs/>
          <w:color w:val="auto"/>
          <w:spacing w:val="0"/>
          <w:sz w:val="32"/>
          <w:szCs w:val="32"/>
          <w:highlight w:val="none"/>
          <w:lang w:val="en-US" w:eastAsia="zh-CN"/>
        </w:rPr>
        <w:t>与上年相比</w:t>
      </w:r>
      <w:r>
        <w:rPr>
          <w:rFonts w:hint="eastAsia" w:ascii="仿宋_GB2312" w:hAnsi="Times New Roman" w:eastAsia="仿宋_GB2312" w:cs="Times New Roman"/>
          <w:color w:val="auto"/>
          <w:spacing w:val="0"/>
          <w:sz w:val="32"/>
          <w:szCs w:val="32"/>
          <w:highlight w:val="none"/>
          <w:lang w:eastAsia="zh-CN"/>
        </w:rPr>
        <w:t>，</w:t>
      </w:r>
      <w:r>
        <w:rPr>
          <w:rFonts w:hint="eastAsia" w:ascii="仿宋_GB2312" w:hAnsi="Times New Roman" w:eastAsia="仿宋_GB2312" w:cs="Times New Roman"/>
          <w:color w:val="auto"/>
          <w:spacing w:val="0"/>
          <w:sz w:val="32"/>
          <w:szCs w:val="32"/>
          <w:highlight w:val="none"/>
          <w:lang w:val="zh-CN" w:eastAsia="zh-CN"/>
        </w:rPr>
        <w:t>增加</w:t>
      </w:r>
      <w:r>
        <w:rPr>
          <w:rFonts w:hint="eastAsia" w:ascii="仿宋_GB2312" w:hAnsi="Times New Roman" w:eastAsia="仿宋_GB2312" w:cs="Times New Roman"/>
          <w:color w:val="auto"/>
          <w:spacing w:val="0"/>
          <w:sz w:val="32"/>
          <w:szCs w:val="32"/>
          <w:highlight w:val="none"/>
          <w:lang w:val="en-US" w:eastAsia="zh-CN"/>
        </w:rPr>
        <w:t>37</w:t>
      </w:r>
      <w:r>
        <w:rPr>
          <w:rFonts w:hint="eastAsia" w:ascii="仿宋_GB2312" w:eastAsia="仿宋_GB2312" w:cs="Times New Roman"/>
          <w:color w:val="auto"/>
          <w:spacing w:val="0"/>
          <w:sz w:val="32"/>
          <w:szCs w:val="32"/>
          <w:highlight w:val="none"/>
          <w:lang w:val="en-US" w:eastAsia="zh-CN"/>
        </w:rPr>
        <w:t>.00</w:t>
      </w:r>
      <w:r>
        <w:rPr>
          <w:rFonts w:hint="eastAsia" w:ascii="仿宋_GB2312" w:hAnsi="Times New Roman" w:eastAsia="仿宋_GB2312" w:cs="Times New Roman"/>
          <w:color w:val="auto"/>
          <w:spacing w:val="0"/>
          <w:sz w:val="32"/>
          <w:szCs w:val="32"/>
          <w:highlight w:val="none"/>
          <w:lang w:val="zh-CN" w:eastAsia="zh-CN"/>
        </w:rPr>
        <w:t>万元</w:t>
      </w:r>
      <w:r>
        <w:rPr>
          <w:rFonts w:hint="eastAsia" w:ascii="仿宋_GB2312" w:hAnsi="Times New Roman" w:eastAsia="仿宋_GB2312" w:cs="Times New Roman"/>
          <w:color w:val="auto"/>
          <w:spacing w:val="0"/>
          <w:sz w:val="32"/>
          <w:szCs w:val="32"/>
          <w:highlight w:val="none"/>
          <w:lang w:eastAsia="zh-CN"/>
        </w:rPr>
        <w:t>，</w:t>
      </w:r>
      <w:r>
        <w:rPr>
          <w:rFonts w:hint="eastAsia" w:ascii="仿宋_GB2312" w:hAnsi="Times New Roman" w:eastAsia="仿宋_GB2312" w:cs="Times New Roman"/>
          <w:color w:val="auto"/>
          <w:spacing w:val="0"/>
          <w:sz w:val="32"/>
          <w:szCs w:val="32"/>
          <w:highlight w:val="none"/>
          <w:lang w:val="zh-CN" w:eastAsia="zh-CN"/>
        </w:rPr>
        <w:t>增长</w:t>
      </w:r>
      <w:r>
        <w:rPr>
          <w:rFonts w:hint="eastAsia" w:ascii="仿宋_GB2312" w:hAnsi="Times New Roman" w:eastAsia="仿宋_GB2312" w:cs="Times New Roman"/>
          <w:color w:val="auto"/>
          <w:spacing w:val="0"/>
          <w:sz w:val="32"/>
          <w:szCs w:val="32"/>
          <w:highlight w:val="none"/>
          <w:lang w:val="en-US" w:eastAsia="zh-CN"/>
        </w:rPr>
        <w:t>3.46</w:t>
      </w:r>
      <w:r>
        <w:rPr>
          <w:rFonts w:hint="eastAsia" w:ascii="仿宋_GB2312" w:hAnsi="Times New Roman" w:eastAsia="仿宋_GB2312" w:cs="Times New Roman"/>
          <w:color w:val="auto"/>
          <w:spacing w:val="0"/>
          <w:sz w:val="32"/>
          <w:szCs w:val="32"/>
          <w:highlight w:val="none"/>
          <w:lang w:val="zh-CN" w:eastAsia="zh-CN"/>
        </w:rPr>
        <w:t>%</w:t>
      </w:r>
      <w:r>
        <w:rPr>
          <w:rFonts w:hint="eastAsia" w:ascii="仿宋_GB2312" w:hAnsi="Times New Roman" w:eastAsia="仿宋_GB2312" w:cs="Times New Roman"/>
          <w:color w:val="auto"/>
          <w:spacing w:val="0"/>
          <w:sz w:val="32"/>
          <w:szCs w:val="32"/>
          <w:highlight w:val="none"/>
          <w:lang w:eastAsia="zh-CN"/>
        </w:rPr>
        <w:t>，主要原因是：</w:t>
      </w:r>
      <w:r>
        <w:rPr>
          <w:rFonts w:hint="eastAsia" w:ascii="仿宋_GB2312" w:hAnsi="Times New Roman" w:eastAsia="仿宋_GB2312" w:cs="Times New Roman"/>
          <w:color w:val="auto"/>
          <w:spacing w:val="0"/>
          <w:sz w:val="32"/>
          <w:szCs w:val="32"/>
          <w:highlight w:val="none"/>
          <w:lang w:val="en-US" w:eastAsia="zh-CN"/>
        </w:rPr>
        <w:t>本年度环境卫生保障工作对外发包，业务经费增加及人员工资政策性调整。</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rPr>
        <w:t>本年收入</w:t>
      </w:r>
      <w:r>
        <w:rPr>
          <w:rFonts w:hint="eastAsia" w:ascii="仿宋_GB2312" w:eastAsia="仿宋_GB2312"/>
          <w:b/>
          <w:bCs/>
          <w:color w:val="auto"/>
          <w:sz w:val="32"/>
          <w:szCs w:val="32"/>
          <w:highlight w:val="none"/>
          <w:lang w:eastAsia="zh-CN"/>
        </w:rPr>
        <w:t>1105.98</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，其中：财政拨款收入</w:t>
      </w:r>
      <w:r>
        <w:rPr>
          <w:rFonts w:hint="eastAsia" w:ascii="仿宋_GB2312" w:eastAsia="仿宋_GB2312"/>
          <w:color w:val="auto"/>
          <w:sz w:val="32"/>
          <w:szCs w:val="32"/>
          <w:highlight w:val="none"/>
          <w:lang w:val="zh-CN"/>
        </w:rPr>
        <w:t>1105.98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本年支出1105.98万元，</w:t>
      </w:r>
      <w:r>
        <w:rPr>
          <w:rFonts w:hint="eastAsia" w:ascii="仿宋_GB2312" w:eastAsia="仿宋_GB2312"/>
          <w:color w:val="auto"/>
          <w:sz w:val="32"/>
          <w:szCs w:val="32"/>
          <w:highlight w:val="none"/>
          <w:lang w:val="zh-CN" w:eastAsia="zh-CN"/>
        </w:rPr>
        <w:t>其中：基本支出1073.60万元，占97.07%；项目支出32.38万元，占2.93%；上缴上级支出0.00万元，占0.00%；经营支出0.00万元，占0.00%；对附属单位补助支出0.00万元，占0.00%。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2023年度财政拨款收入</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1105.98</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b w:val="0"/>
          <w:bCs w:val="0"/>
          <w:color w:val="auto"/>
          <w:spacing w:val="0"/>
          <w:sz w:val="32"/>
          <w:szCs w:val="32"/>
          <w:highlight w:val="none"/>
          <w:lang w:val="en-US" w:eastAsia="zh-CN"/>
        </w:rPr>
        <w:t>本年财政拨款收入</w:t>
      </w:r>
      <w:r>
        <w:rPr>
          <w:rFonts w:hint="eastAsia" w:ascii="仿宋_GB2312" w:eastAsia="仿宋_GB2312"/>
          <w:b w:val="0"/>
          <w:bCs w:val="0"/>
          <w:color w:val="auto"/>
          <w:spacing w:val="0"/>
          <w:sz w:val="32"/>
          <w:szCs w:val="32"/>
          <w:highlight w:val="none"/>
          <w:lang w:val="zh-CN" w:eastAsia="zh-CN"/>
        </w:rPr>
        <w:t>1105.98</w:t>
      </w:r>
      <w:r>
        <w:rPr>
          <w:rFonts w:hint="eastAsia" w:ascii="仿宋_GB2312" w:eastAsia="仿宋_GB2312"/>
          <w:b w:val="0"/>
          <w:bCs w:val="0"/>
          <w:color w:val="auto"/>
          <w:spacing w:val="0"/>
          <w:sz w:val="32"/>
          <w:szCs w:val="32"/>
          <w:highlight w:val="none"/>
          <w:lang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财政拨款支出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1105.98</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1105.98</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财政拨款收入支出总体与上年相比</w:t>
      </w:r>
      <w:r>
        <w:rPr>
          <w:rFonts w:hint="eastAsia" w:ascii="仿宋_GB2312" w:eastAsia="仿宋_GB2312"/>
          <w:b/>
          <w:bCs/>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w:t>
      </w:r>
      <w:r>
        <w:rPr>
          <w:rFonts w:hint="eastAsia" w:ascii="仿宋_GB2312" w:eastAsia="仿宋_GB2312"/>
          <w:color w:val="auto"/>
          <w:spacing w:val="0"/>
          <w:sz w:val="32"/>
          <w:szCs w:val="32"/>
          <w:highlight w:val="none"/>
          <w:lang w:val="en-US" w:eastAsia="zh-CN"/>
        </w:rPr>
        <w:t>36.93</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w:t>
      </w:r>
      <w:r>
        <w:rPr>
          <w:rFonts w:hint="eastAsia" w:ascii="仿宋_GB2312" w:eastAsia="仿宋_GB2312"/>
          <w:color w:val="auto"/>
          <w:spacing w:val="0"/>
          <w:sz w:val="32"/>
          <w:szCs w:val="32"/>
          <w:highlight w:val="none"/>
          <w:lang w:val="en-US" w:eastAsia="zh-CN"/>
        </w:rPr>
        <w:t>3.45</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主要原因是：</w:t>
      </w:r>
      <w:r>
        <w:rPr>
          <w:rFonts w:hint="eastAsia" w:ascii="仿宋_GB2312" w:hAnsi="Times New Roman" w:eastAsia="仿宋_GB2312" w:cs="Times New Roman"/>
          <w:color w:val="auto"/>
          <w:spacing w:val="0"/>
          <w:sz w:val="32"/>
          <w:szCs w:val="32"/>
          <w:highlight w:val="none"/>
          <w:lang w:val="en-US" w:eastAsia="zh-CN"/>
        </w:rPr>
        <w:t>本年度环境卫生保障工作对外发包，业务经费增加及人员工资政策性调整</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1107.93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1105.98</w:t>
      </w:r>
      <w:r>
        <w:rPr>
          <w:rFonts w:hint="eastAsia" w:ascii="仿宋_GB2312" w:eastAsia="仿宋_GB2312"/>
          <w:color w:val="auto"/>
          <w:spacing w:val="0"/>
          <w:sz w:val="32"/>
          <w:szCs w:val="32"/>
          <w:highlight w:val="none"/>
          <w:lang w:eastAsia="zh-CN"/>
        </w:rPr>
        <w:t>万元，预决算差异率-0.18%，主要原因是：</w:t>
      </w:r>
      <w:r>
        <w:rPr>
          <w:rFonts w:hint="eastAsia" w:ascii="仿宋_GB2312" w:hAnsi="Times New Roman" w:eastAsia="仿宋_GB2312" w:cs="Times New Roman"/>
          <w:color w:val="auto"/>
          <w:spacing w:val="0"/>
          <w:sz w:val="32"/>
          <w:szCs w:val="32"/>
          <w:highlight w:val="none"/>
          <w:lang w:val="en-US" w:eastAsia="zh-CN"/>
        </w:rPr>
        <w:t>工资政策性调整，退休人员医疗补助减少</w:t>
      </w:r>
      <w:r>
        <w:rPr>
          <w:rFonts w:hint="eastAsia" w:ascii="仿宋_GB2312" w:hAnsi="Times New Roman" w:eastAsia="仿宋_GB2312" w:cs="Times New Roman"/>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2023年度一般公共预算财政拨款支出1105.98万元，</w:t>
      </w:r>
      <w:r>
        <w:rPr>
          <w:rFonts w:hint="eastAsia" w:ascii="仿宋_GB2312" w:eastAsia="仿宋_GB2312"/>
          <w:color w:val="auto"/>
          <w:spacing w:val="0"/>
          <w:sz w:val="32"/>
          <w:szCs w:val="32"/>
          <w:highlight w:val="none"/>
          <w:lang w:eastAsia="zh-CN"/>
        </w:rPr>
        <w:t>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w:t>
      </w:r>
      <w:r>
        <w:rPr>
          <w:rFonts w:hint="eastAsia" w:ascii="仿宋_GB2312" w:eastAsia="仿宋_GB2312"/>
          <w:color w:val="auto"/>
          <w:spacing w:val="0"/>
          <w:sz w:val="32"/>
          <w:szCs w:val="32"/>
          <w:highlight w:val="none"/>
          <w:lang w:val="en-US" w:eastAsia="zh-CN"/>
        </w:rPr>
        <w:t>36.93</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w:t>
      </w:r>
      <w:r>
        <w:rPr>
          <w:rFonts w:hint="eastAsia" w:ascii="仿宋_GB2312" w:eastAsia="仿宋_GB2312"/>
          <w:color w:val="auto"/>
          <w:spacing w:val="0"/>
          <w:sz w:val="32"/>
          <w:szCs w:val="32"/>
          <w:highlight w:val="none"/>
          <w:lang w:val="en-US" w:eastAsia="zh-CN"/>
        </w:rPr>
        <w:t>3.45</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主要原因是：</w:t>
      </w:r>
      <w:r>
        <w:rPr>
          <w:rFonts w:hint="eastAsia" w:ascii="仿宋_GB2312" w:hAnsi="Times New Roman" w:eastAsia="仿宋_GB2312" w:cs="Times New Roman"/>
          <w:color w:val="auto"/>
          <w:spacing w:val="0"/>
          <w:sz w:val="32"/>
          <w:szCs w:val="32"/>
          <w:highlight w:val="none"/>
          <w:lang w:val="en-US" w:eastAsia="zh-CN"/>
        </w:rPr>
        <w:t>本年度环境卫生保障工作对外发包，业务经费增加及人员工资政策性调整</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1107.93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1105.98</w:t>
      </w:r>
      <w:r>
        <w:rPr>
          <w:rFonts w:hint="eastAsia" w:ascii="仿宋_GB2312" w:eastAsia="仿宋_GB2312"/>
          <w:color w:val="auto"/>
          <w:spacing w:val="0"/>
          <w:sz w:val="32"/>
          <w:szCs w:val="32"/>
          <w:highlight w:val="none"/>
          <w:lang w:eastAsia="zh-CN"/>
        </w:rPr>
        <w:t>万元，预决算差异率-0.18%，主要原因是：</w:t>
      </w:r>
      <w:r>
        <w:rPr>
          <w:rFonts w:hint="eastAsia" w:ascii="仿宋_GB2312" w:hAnsi="Times New Roman" w:eastAsia="仿宋_GB2312" w:cs="Times New Roman"/>
          <w:color w:val="auto"/>
          <w:spacing w:val="0"/>
          <w:sz w:val="32"/>
          <w:szCs w:val="32"/>
          <w:highlight w:val="none"/>
          <w:lang w:val="en-US" w:eastAsia="zh-CN"/>
        </w:rPr>
        <w:t>工资政策性调整，退休人员医疗补助减少</w:t>
      </w:r>
      <w:r>
        <w:rPr>
          <w:rFonts w:hint="eastAsia" w:ascii="仿宋_GB2312" w:hAnsi="Times New Roman" w:eastAsia="仿宋_GB2312" w:cs="Times New Roman"/>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106.37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9.62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34.74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3.14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.节能环保支出（类）</w:t>
      </w:r>
      <w:r>
        <w:rPr>
          <w:rFonts w:hint="eastAsia" w:ascii="仿宋_GB2312" w:hAnsi="Times New Roman" w:eastAsia="仿宋_GB2312" w:cs="Times New Roman"/>
          <w:color w:val="auto"/>
          <w:spacing w:val="0"/>
          <w:kern w:val="2"/>
          <w:sz w:val="32"/>
          <w:szCs w:val="32"/>
          <w:highlight w:val="none"/>
          <w:lang w:val="zh-CN" w:eastAsia="zh-CN" w:bidi="ar-SA"/>
        </w:rPr>
        <w:t>32.38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2.93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.城乡社区支出（类）</w:t>
      </w:r>
      <w:r>
        <w:rPr>
          <w:rFonts w:hint="eastAsia" w:ascii="仿宋_GB2312" w:hAnsi="Times New Roman" w:eastAsia="仿宋_GB2312" w:cs="Times New Roman"/>
          <w:color w:val="auto"/>
          <w:spacing w:val="0"/>
          <w:kern w:val="2"/>
          <w:sz w:val="32"/>
          <w:szCs w:val="32"/>
          <w:highlight w:val="none"/>
          <w:lang w:val="zh-CN" w:eastAsia="zh-CN" w:bidi="ar-SA"/>
        </w:rPr>
        <w:t>869.87</w:t>
      </w:r>
      <w:r>
        <w:rPr>
          <w:rFonts w:hint="default" w:ascii="仿宋_GB2312" w:hAnsi="Times New Roman" w:eastAsia="仿宋_GB2312" w:cs="Times New Roman"/>
          <w:color w:val="auto"/>
          <w:spacing w:val="0"/>
          <w:kern w:val="2"/>
          <w:sz w:val="32"/>
          <w:szCs w:val="32"/>
          <w:highlight w:val="none"/>
          <w:lang w:val="zh-CN" w:eastAsia="zh-CN" w:bidi="ar-SA"/>
        </w:rPr>
        <w:t xml:space="preserve">万元，占 </w:t>
      </w:r>
      <w:r>
        <w:rPr>
          <w:rFonts w:hint="eastAsia" w:ascii="仿宋_GB2312" w:hAnsi="Times New Roman" w:eastAsia="仿宋_GB2312" w:cs="Times New Roman"/>
          <w:color w:val="auto"/>
          <w:spacing w:val="0"/>
          <w:kern w:val="2"/>
          <w:sz w:val="32"/>
          <w:szCs w:val="32"/>
          <w:highlight w:val="none"/>
          <w:lang w:val="zh-CN" w:eastAsia="zh-CN" w:bidi="ar-SA"/>
        </w:rPr>
        <w:t>78.65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5</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62.63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5.66</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1.城</w:t>
      </w:r>
      <w:r>
        <w:rPr>
          <w:rFonts w:hint="eastAsia" w:ascii="仿宋_GB2312" w:hAnsi="Times New Roman" w:eastAsia="仿宋_GB2312" w:cs="Times New Roman"/>
          <w:color w:val="auto"/>
          <w:spacing w:val="0"/>
          <w:kern w:val="2"/>
          <w:sz w:val="32"/>
          <w:szCs w:val="32"/>
          <w:highlight w:val="none"/>
          <w:lang w:val="en-US" w:eastAsia="zh-CN" w:bidi="ar-SA"/>
        </w:rPr>
        <w:t>乡社区支出（类）城乡社区环境卫生（款）城乡社区环境卫生（项）:支出决算数为869.87万元，比上年决算增加</w:t>
      </w:r>
      <w:r>
        <w:rPr>
          <w:rFonts w:hint="eastAsia" w:ascii="仿宋_GB2312" w:eastAsia="仿宋_GB2312" w:cs="Times New Roman"/>
          <w:color w:val="auto"/>
          <w:spacing w:val="0"/>
          <w:kern w:val="2"/>
          <w:sz w:val="32"/>
          <w:szCs w:val="32"/>
          <w:highlight w:val="none"/>
          <w:lang w:val="en-US" w:eastAsia="zh-CN" w:bidi="ar-SA"/>
        </w:rPr>
        <w:t>196.53</w:t>
      </w:r>
      <w:r>
        <w:rPr>
          <w:rFonts w:hint="eastAsia" w:ascii="仿宋_GB2312" w:hAnsi="Times New Roman" w:eastAsia="仿宋_GB2312" w:cs="Times New Roman"/>
          <w:color w:val="auto"/>
          <w:spacing w:val="0"/>
          <w:kern w:val="2"/>
          <w:sz w:val="32"/>
          <w:szCs w:val="32"/>
          <w:highlight w:val="none"/>
          <w:lang w:val="en-US" w:eastAsia="zh-CN" w:bidi="ar-SA"/>
        </w:rPr>
        <w:t>万元，增长</w:t>
      </w:r>
      <w:r>
        <w:rPr>
          <w:rFonts w:hint="eastAsia" w:ascii="仿宋_GB2312" w:eastAsia="仿宋_GB2312" w:cs="Times New Roman"/>
          <w:color w:val="auto"/>
          <w:spacing w:val="0"/>
          <w:kern w:val="2"/>
          <w:sz w:val="32"/>
          <w:szCs w:val="32"/>
          <w:highlight w:val="none"/>
          <w:lang w:val="en-US" w:eastAsia="zh-CN" w:bidi="ar-SA"/>
        </w:rPr>
        <w:t>29.19</w:t>
      </w:r>
      <w:r>
        <w:rPr>
          <w:rFonts w:hint="eastAsia" w:ascii="仿宋_GB2312" w:hAnsi="Times New Roman" w:eastAsia="仿宋_GB2312" w:cs="Times New Roman"/>
          <w:color w:val="auto"/>
          <w:spacing w:val="0"/>
          <w:kern w:val="2"/>
          <w:sz w:val="32"/>
          <w:szCs w:val="32"/>
          <w:highlight w:val="none"/>
          <w:lang w:val="en-US" w:eastAsia="zh-CN" w:bidi="ar-SA"/>
        </w:rPr>
        <w:t>%，主要原因是：本年度环境卫生保障工作</w:t>
      </w:r>
      <w:r>
        <w:rPr>
          <w:rFonts w:hint="eastAsia" w:ascii="仿宋_GB2312" w:eastAsia="仿宋_GB2312" w:cs="Times New Roman"/>
          <w:color w:val="auto"/>
          <w:spacing w:val="0"/>
          <w:kern w:val="2"/>
          <w:sz w:val="32"/>
          <w:szCs w:val="32"/>
          <w:highlight w:val="none"/>
          <w:lang w:val="en-US" w:eastAsia="zh-CN" w:bidi="ar-SA"/>
        </w:rPr>
        <w:t>业务</w:t>
      </w:r>
      <w:r>
        <w:rPr>
          <w:rFonts w:hint="eastAsia" w:ascii="仿宋_GB2312" w:hAnsi="Times New Roman" w:eastAsia="仿宋_GB2312" w:cs="Times New Roman"/>
          <w:color w:val="auto"/>
          <w:spacing w:val="0"/>
          <w:kern w:val="2"/>
          <w:sz w:val="32"/>
          <w:szCs w:val="32"/>
          <w:highlight w:val="none"/>
          <w:lang w:val="en-US" w:eastAsia="zh-CN" w:bidi="ar-SA"/>
        </w:rPr>
        <w:t>对外发包，业务经费增加及人员工资政策性调整</w:t>
      </w:r>
      <w:r>
        <w:rPr>
          <w:rFonts w:hint="eastAsia" w:ascii="仿宋_GB2312" w:eastAsia="仿宋_GB2312" w:cs="Times New Roman"/>
          <w:color w:val="auto"/>
          <w:spacing w:val="0"/>
          <w:kern w:val="2"/>
          <w:sz w:val="32"/>
          <w:szCs w:val="32"/>
          <w:highlight w:val="none"/>
          <w:lang w:val="en-US" w:eastAsia="zh-CN" w:bidi="ar-SA"/>
        </w:rPr>
        <w:t>，人员经费增加</w:t>
      </w:r>
      <w:r>
        <w:rPr>
          <w:rFonts w:hint="eastAsia"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2.社会保障和就业支出（类）行政事业单位养老支出（款）事业单位离退休（项）:支出决算数为22.57万元，比上年决算减少</w:t>
      </w:r>
      <w:r>
        <w:rPr>
          <w:rFonts w:hint="eastAsia" w:ascii="仿宋_GB2312" w:eastAsia="仿宋_GB2312" w:cs="Times New Roman"/>
          <w:color w:val="auto"/>
          <w:spacing w:val="0"/>
          <w:kern w:val="2"/>
          <w:sz w:val="32"/>
          <w:szCs w:val="32"/>
          <w:highlight w:val="none"/>
          <w:lang w:val="en-US" w:eastAsia="zh-CN" w:bidi="ar-SA"/>
        </w:rPr>
        <w:t>8.35</w:t>
      </w:r>
      <w:r>
        <w:rPr>
          <w:rFonts w:hint="eastAsia" w:ascii="仿宋_GB2312" w:hAnsi="Times New Roman" w:eastAsia="仿宋_GB2312" w:cs="Times New Roman"/>
          <w:color w:val="auto"/>
          <w:spacing w:val="0"/>
          <w:kern w:val="2"/>
          <w:sz w:val="32"/>
          <w:szCs w:val="32"/>
          <w:highlight w:val="none"/>
          <w:lang w:val="en-US" w:eastAsia="zh-CN" w:bidi="ar-SA"/>
        </w:rPr>
        <w:t>万元，下降</w:t>
      </w:r>
      <w:r>
        <w:rPr>
          <w:rFonts w:hint="eastAsia" w:ascii="仿宋_GB2312" w:eastAsia="仿宋_GB2312" w:cs="Times New Roman"/>
          <w:color w:val="auto"/>
          <w:spacing w:val="0"/>
          <w:kern w:val="2"/>
          <w:sz w:val="32"/>
          <w:szCs w:val="32"/>
          <w:highlight w:val="none"/>
          <w:lang w:val="en-US" w:eastAsia="zh-CN" w:bidi="ar-SA"/>
        </w:rPr>
        <w:t>27.01</w:t>
      </w:r>
      <w:r>
        <w:rPr>
          <w:rFonts w:hint="eastAsia" w:ascii="仿宋_GB2312" w:hAnsi="Times New Roman" w:eastAsia="仿宋_GB2312" w:cs="Times New Roman"/>
          <w:color w:val="auto"/>
          <w:spacing w:val="0"/>
          <w:kern w:val="2"/>
          <w:sz w:val="32"/>
          <w:szCs w:val="32"/>
          <w:highlight w:val="none"/>
          <w:lang w:val="en-US" w:eastAsia="zh-CN" w:bidi="ar-SA"/>
        </w:rPr>
        <w:t>%，主要原因是：政策性工资调整，退休人员</w:t>
      </w:r>
      <w:r>
        <w:rPr>
          <w:rFonts w:hint="eastAsia" w:ascii="仿宋_GB2312" w:eastAsia="仿宋_GB2312" w:cs="Times New Roman"/>
          <w:color w:val="auto"/>
          <w:spacing w:val="0"/>
          <w:kern w:val="2"/>
          <w:sz w:val="32"/>
          <w:szCs w:val="32"/>
          <w:highlight w:val="none"/>
          <w:lang w:val="en-US" w:eastAsia="zh-CN" w:bidi="ar-SA"/>
        </w:rPr>
        <w:t>的</w:t>
      </w:r>
      <w:r>
        <w:rPr>
          <w:rFonts w:hint="eastAsia" w:ascii="仿宋_GB2312" w:hAnsi="Times New Roman" w:eastAsia="仿宋_GB2312" w:cs="Times New Roman"/>
          <w:color w:val="auto"/>
          <w:spacing w:val="0"/>
          <w:kern w:val="2"/>
          <w:sz w:val="32"/>
          <w:szCs w:val="32"/>
          <w:highlight w:val="none"/>
          <w:lang w:val="en-US" w:eastAsia="zh-CN" w:bidi="ar-SA"/>
        </w:rPr>
        <w:t>医疗补助减少</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3.社会保障和就业支出（类）行政事业单位养老支出（款）机关事业单位基本养老保险缴费支出（项）:支出决算数为79.09万元，比上年决算增加11.42万元，增长16.88%，主要原因是：政策性工资调整，在职人员工资增加，养老基数增加，人员经费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color w:val="auto"/>
          <w:spacing w:val="0"/>
          <w:kern w:val="2"/>
          <w:sz w:val="32"/>
          <w:szCs w:val="32"/>
          <w:highlight w:val="none"/>
          <w:lang w:val="en-US"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4.住房保障支出（类）住房改革支出（款）住房公积金（项）:支出决算数为62.63万元，比上年决算增加3.79万元，增长6.44%，主要原因是：政策性工资调整，在职人员工资增加，住房公积金基数增加，人员经费增加。</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5.社会保障和就业支出（类）行政事业单位养老支出（款）机关事业单位职业年金缴费支出（项）:支出决算数为4.71万元，比上年决算增加4.71万元，增长100%，主要原因是：在职人员转退休1人，职业年金缴费增加</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6.卫生健康支出（类）行政事业单位医疗（款）事业单位医疗（项）:支出决算数为34.74万元，比上年决算增加0.72万元，增长2.12%，主要原因是：政策性工资调整，医疗扣除基数增加，人员经费增加</w:t>
      </w:r>
      <w:r>
        <w:rPr>
          <w:rFonts w:hint="eastAsia"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7.节能环保支出（类）污染防治（款）其他污染防治支出（项）:支出决算数为32.38万元，比上年决算增加32.38万元，增长100%，主要原因是：本年度新增项目</w:t>
      </w:r>
      <w:r>
        <w:rPr>
          <w:rFonts w:hint="eastAsia" w:ascii="仿宋_GB2312" w:eastAsia="仿宋_GB2312" w:cs="Times New Roman"/>
          <w:color w:val="auto"/>
          <w:spacing w:val="0"/>
          <w:kern w:val="2"/>
          <w:sz w:val="32"/>
          <w:szCs w:val="32"/>
          <w:highlight w:val="none"/>
          <w:lang w:val="en-US" w:eastAsia="zh-CN" w:bidi="ar-SA"/>
        </w:rPr>
        <w:t>1个，项目资金增加</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1073.60</w:t>
      </w:r>
      <w:r>
        <w:rPr>
          <w:rFonts w:hint="eastAsia" w:ascii="仿宋_GB2312" w:eastAsia="仿宋_GB2312"/>
          <w:color w:val="auto"/>
          <w:sz w:val="32"/>
          <w:szCs w:val="32"/>
          <w:highlight w:val="none"/>
        </w:rPr>
        <w:t>万元，其中：</w:t>
      </w:r>
      <w:r>
        <w:rPr>
          <w:rFonts w:hint="eastAsia" w:ascii="仿宋_GB2312" w:eastAsia="仿宋_GB2312"/>
          <w:b/>
          <w:bCs/>
          <w:color w:val="auto"/>
          <w:sz w:val="32"/>
          <w:szCs w:val="32"/>
          <w:highlight w:val="none"/>
        </w:rPr>
        <w:t>人员经费</w:t>
      </w:r>
      <w:r>
        <w:rPr>
          <w:rFonts w:hint="eastAsia" w:ascii="仿宋_GB2312" w:eastAsia="仿宋_GB2312"/>
          <w:b/>
          <w:bCs/>
          <w:color w:val="auto"/>
          <w:sz w:val="32"/>
          <w:szCs w:val="32"/>
          <w:highlight w:val="none"/>
          <w:lang w:eastAsia="zh-CN"/>
        </w:rPr>
        <w:t>826.96</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基本工资、津贴补贴、奖金、绩效工资、机关事业单位基本养老保险缴费、职业年金缴费、职工基本医疗保险缴费、其他社会保障缴费、住房公积金、退休费、生活补助、医疗费补助。</w:t>
      </w:r>
    </w:p>
    <w:p>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b/>
          <w:bCs/>
          <w:color w:val="auto"/>
          <w:sz w:val="32"/>
          <w:szCs w:val="32"/>
          <w:highlight w:val="none"/>
        </w:rPr>
        <w:t>公用经费</w:t>
      </w:r>
      <w:r>
        <w:rPr>
          <w:rFonts w:hint="eastAsia" w:ascii="仿宋_GB2312" w:eastAsia="仿宋_GB2312"/>
          <w:b/>
          <w:bCs/>
          <w:color w:val="auto"/>
          <w:sz w:val="32"/>
          <w:szCs w:val="32"/>
          <w:highlight w:val="none"/>
          <w:lang w:eastAsia="zh-CN"/>
        </w:rPr>
        <w:t>246.64</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办公费、电费、邮电费、取暖费、差旅费、维修（护）费、劳务费、委托业务费、工会经费。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lang w:val="zh-CN" w:eastAsia="zh-CN"/>
        </w:rPr>
      </w:pPr>
      <w:bookmarkStart w:id="18" w:name="_Toc5810"/>
      <w:bookmarkStart w:id="19" w:name="_Toc7927"/>
      <w:r>
        <w:rPr>
          <w:rFonts w:hint="eastAsia" w:ascii="仿宋_GB2312" w:eastAsia="仿宋_GB2312"/>
          <w:b/>
          <w:bCs/>
          <w:color w:val="auto"/>
          <w:sz w:val="32"/>
          <w:szCs w:val="32"/>
          <w:highlight w:val="none"/>
          <w:lang w:val="zh-CN" w:eastAsia="zh-CN"/>
        </w:rPr>
        <w:t>2023年度</w:t>
      </w:r>
      <w:r>
        <w:rPr>
          <w:rFonts w:hint="eastAsia" w:ascii="仿宋_GB2312" w:eastAsia="仿宋_GB2312"/>
          <w:b/>
          <w:bCs/>
          <w:color w:val="auto"/>
          <w:sz w:val="32"/>
          <w:szCs w:val="32"/>
          <w:highlight w:val="none"/>
          <w:lang w:val="en-US" w:eastAsia="zh-CN"/>
        </w:rPr>
        <w:t>财政拨款</w:t>
      </w:r>
      <w:r>
        <w:rPr>
          <w:rFonts w:hint="eastAsia" w:ascii="仿宋_GB2312" w:eastAsia="仿宋_GB2312"/>
          <w:b/>
          <w:bCs/>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增加0.00万元，增长0.00%，主要原因是：我单位无“三公”经费支出。其中：因公出国（境）费支出0.00万元，占0.00%，比上年增加0.00万元，增长0.00%，主要原因是：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因公出国（境）费支出；公务用车购置及运行维护费支出0.00万元，占0.00%，比上年增加0.00万元，增长0.00%，主要原因是：我单位无公务用车购置及运行维护费支出；公务接待费支出0.00万元，占0.00%，比上年增加0.00万元，增长0.00%，主要原因是：我单位无公务接待费支出。</w:t>
      </w:r>
    </w:p>
    <w:p>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eastAsia="仿宋_GB2312"/>
          <w:b/>
          <w:bCs/>
          <w:color w:val="auto"/>
          <w:sz w:val="32"/>
          <w:szCs w:val="32"/>
          <w:highlight w:val="none"/>
          <w:lang w:val="zh-CN" w:eastAsia="zh-CN"/>
        </w:rPr>
      </w:pPr>
      <w:r>
        <w:rPr>
          <w:rFonts w:hint="eastAsia" w:ascii="仿宋_GB2312" w:eastAsia="仿宋_GB2312"/>
          <w:b/>
          <w:bCs/>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我单位无公务用车运行维护费开支。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公务接待费0.00万元，开支内容包括我单位无公务接待费。单位全年安排的国内公务接待0批次，0人次。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预算数0.00万元，决算数0.00万元，预决算差异率0.00%，主要原因是：我单位未安排财政拨款“三公”经费支出，预决算无差异。其中：因公出国（境）费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0.00万元，决算数0.00万元，预决算差异率0.00%，主要原因是：我单位未安排因公出国（境）费，预决算无差异；公务用车购置费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预算数0.00万元，决算数0.00万元，预决算差异率0.00%，主要原因是：我单位未安排公务用车购置费，预决算无差异；公务用车运行费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预算数0.00万元，决算数0.00万元，预决算差异率0.00%，主要原因是：我单位未安排公务用车运行费，预决算无差异；公务接待费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预算数0.00万元，决算数0.00万元，预决算差异率0.00%，主要原因是：我单位未安排公务接待费，预决算无差异。</w:t>
      </w:r>
    </w:p>
    <w:bookmarkEnd w:id="18"/>
    <w:bookmarkEnd w:id="19"/>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我单位本年度无政府性基金预算财政拨款收入、支出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bookmarkStart w:id="24" w:name="_Toc26704"/>
      <w:bookmarkStart w:id="25" w:name="_Toc227"/>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裕民县环卫服务中心（事业单位）</w:t>
      </w:r>
      <w:r>
        <w:rPr>
          <w:rFonts w:hint="eastAsia" w:ascii="仿宋_GB2312" w:eastAsia="仿宋_GB2312"/>
          <w:color w:val="auto"/>
          <w:sz w:val="32"/>
          <w:szCs w:val="32"/>
          <w:highlight w:val="none"/>
          <w:lang w:val="zh-CN" w:eastAsia="zh-CN"/>
        </w:rPr>
        <w:t>公用经费支出</w:t>
      </w:r>
      <w:r>
        <w:rPr>
          <w:rFonts w:hint="eastAsia" w:ascii="仿宋_GB2312" w:eastAsia="仿宋_GB2312"/>
          <w:color w:val="auto"/>
          <w:sz w:val="32"/>
          <w:szCs w:val="32"/>
          <w:highlight w:val="none"/>
          <w:lang w:val="en-US" w:eastAsia="zh-CN"/>
        </w:rPr>
        <w:t>246.64</w:t>
      </w:r>
      <w:r>
        <w:rPr>
          <w:rFonts w:hint="eastAsia" w:ascii="仿宋_GB2312" w:eastAsia="仿宋_GB2312"/>
          <w:color w:val="auto"/>
          <w:sz w:val="32"/>
          <w:szCs w:val="32"/>
          <w:highlight w:val="none"/>
          <w:lang w:val="zh-CN" w:eastAsia="zh-CN"/>
        </w:rPr>
        <w:t>万元，比上年</w:t>
      </w:r>
      <w:r>
        <w:rPr>
          <w:rFonts w:hint="eastAsia" w:ascii="仿宋_GB2312" w:eastAsia="仿宋_GB2312"/>
          <w:color w:val="auto"/>
          <w:sz w:val="32"/>
          <w:szCs w:val="32"/>
          <w:highlight w:val="none"/>
          <w:lang w:val="en-US" w:eastAsia="zh-CN"/>
        </w:rPr>
        <w:t>增加169.88</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增加221.31</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本年度环境卫生保障工作对外发包，业务经费增加的同时环境卫生保障业务经费列入基本支出。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2023年度政府采购支出总额225.00万元，其中：政府采购货物支出0.00万元、政府采购工程支出0.00万元、政府采购服务支出225.00万元。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授予中小企业合同金额225.00万元，占政府采购支出总额的100.00</w:t>
      </w:r>
      <w:r>
        <w:rPr>
          <w:rFonts w:hint="default"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zh-CN" w:eastAsia="zh-CN"/>
        </w:rPr>
        <w:t>，其中：授予小微企业合同金额225.00万元，占政府采购支出总额的100.00</w:t>
      </w:r>
      <w:r>
        <w:rPr>
          <w:rFonts w:hint="default"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en-US" w:eastAsia="zh-CN"/>
        </w:rPr>
        <w:t>截至2023</w:t>
      </w:r>
      <w:r>
        <w:rPr>
          <w:rFonts w:hint="eastAsia" w:ascii="仿宋_GB2312" w:eastAsia="仿宋_GB2312"/>
          <w:color w:val="auto"/>
          <w:sz w:val="32"/>
          <w:szCs w:val="32"/>
          <w:highlight w:val="none"/>
          <w:lang w:val="zh-CN" w:eastAsia="zh-CN"/>
        </w:rPr>
        <w:t>年</w:t>
      </w:r>
      <w:r>
        <w:rPr>
          <w:rFonts w:hint="eastAsia" w:ascii="仿宋_GB2312" w:eastAsia="仿宋_GB2312"/>
          <w:color w:val="auto"/>
          <w:sz w:val="32"/>
          <w:szCs w:val="32"/>
          <w:highlight w:val="none"/>
          <w:lang w:val="en-US" w:eastAsia="zh-CN"/>
        </w:rPr>
        <w:t>12月31日</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固定资产原值</w:t>
      </w:r>
      <w:r>
        <w:rPr>
          <w:rFonts w:hint="eastAsia" w:ascii="仿宋_GB2312" w:eastAsia="仿宋_GB2312"/>
          <w:color w:val="auto"/>
          <w:sz w:val="32"/>
          <w:szCs w:val="32"/>
          <w:highlight w:val="none"/>
          <w:lang w:val="zh-CN" w:eastAsia="zh-CN"/>
        </w:rPr>
        <w:t>274.58</w:t>
      </w:r>
      <w:r>
        <w:rPr>
          <w:rFonts w:hint="eastAsia" w:ascii="仿宋_GB2312" w:eastAsia="仿宋_GB2312"/>
          <w:color w:val="auto"/>
          <w:sz w:val="32"/>
          <w:szCs w:val="32"/>
          <w:highlight w:val="none"/>
          <w:lang w:val="en-US" w:eastAsia="zh-CN"/>
        </w:rPr>
        <w:t>万元，房</w:t>
      </w:r>
      <w:r>
        <w:rPr>
          <w:rFonts w:hint="eastAsia" w:ascii="仿宋_GB2312" w:eastAsia="仿宋_GB2312"/>
          <w:color w:val="auto"/>
          <w:sz w:val="32"/>
          <w:szCs w:val="32"/>
          <w:highlight w:val="none"/>
          <w:lang w:val="zh-CN" w:eastAsia="zh-CN"/>
        </w:rPr>
        <w:t>屋949.0平方米，价值144.26万元。车辆0辆，价值0.00万元，其中：副部（省）级及以上领导用车0辆、主要</w:t>
      </w:r>
      <w:r>
        <w:rPr>
          <w:rFonts w:hint="eastAsia" w:ascii="仿宋_GB2312" w:eastAsia="仿宋_GB2312"/>
          <w:color w:val="auto"/>
          <w:sz w:val="32"/>
          <w:szCs w:val="32"/>
          <w:highlight w:val="none"/>
          <w:lang w:val="en-US" w:eastAsia="zh-CN"/>
        </w:rPr>
        <w:t>负责人</w:t>
      </w:r>
      <w:r>
        <w:rPr>
          <w:rFonts w:hint="eastAsia" w:ascii="仿宋_GB2312" w:eastAsia="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eastAsia="仿宋_GB2312"/>
          <w:color w:val="auto"/>
          <w:sz w:val="32"/>
          <w:szCs w:val="32"/>
          <w:highlight w:val="none"/>
          <w:lang w:val="en-US" w:eastAsia="zh-CN"/>
        </w:rPr>
        <w:t>服务</w:t>
      </w:r>
      <w:r>
        <w:rPr>
          <w:rFonts w:hint="eastAsia" w:ascii="仿宋_GB2312" w:eastAsia="仿宋_GB2312"/>
          <w:color w:val="auto"/>
          <w:sz w:val="32"/>
          <w:szCs w:val="32"/>
          <w:highlight w:val="none"/>
          <w:lang w:val="zh-CN" w:eastAsia="zh-CN"/>
        </w:rPr>
        <w:t>用车0辆、其他用车0辆；单价100万元（含）以上设备（不含车辆）0</w:t>
      </w:r>
      <w:r>
        <w:rPr>
          <w:rFonts w:hint="eastAsia" w:ascii="仿宋_GB2312" w:eastAsia="仿宋_GB2312"/>
          <w:color w:val="auto"/>
          <w:sz w:val="32"/>
          <w:szCs w:val="32"/>
          <w:highlight w:val="none"/>
          <w:lang w:val="en-US" w:eastAsia="zh-CN"/>
        </w:rPr>
        <w:t>台。</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w:t>
      </w:r>
      <w:r>
        <w:rPr>
          <w:rFonts w:hint="eastAsia" w:ascii="仿宋_GB2312" w:eastAsia="仿宋_GB2312"/>
          <w:color w:val="auto"/>
          <w:sz w:val="32"/>
          <w:szCs w:val="32"/>
          <w:highlight w:val="none"/>
          <w:lang w:eastAsia="zh-CN"/>
        </w:rPr>
        <w:t>1106.05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w:t>
      </w:r>
      <w:r>
        <w:rPr>
          <w:rFonts w:hint="eastAsia" w:ascii="仿宋_GB2312" w:eastAsia="仿宋_GB2312"/>
          <w:color w:val="auto"/>
          <w:sz w:val="32"/>
          <w:szCs w:val="32"/>
          <w:highlight w:val="none"/>
          <w:lang w:eastAsia="zh-CN"/>
        </w:rPr>
        <w:t>1105.98</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全年预算数257.44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全年执行数257.44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。预算绩效管理取得的成效：一是强化绩效目标管理；编制预算时要贯彻落实党中央、国务院的决策，自治区党委、自治区人民政府的安排部署和地委、行署、县委、县政府的工</w:t>
      </w:r>
      <w:bookmarkStart w:id="48" w:name="_GoBack"/>
      <w:bookmarkEnd w:id="48"/>
      <w:r>
        <w:rPr>
          <w:rFonts w:hint="eastAsia" w:ascii="仿宋_GB2312" w:eastAsia="仿宋_GB2312"/>
          <w:color w:val="auto"/>
          <w:sz w:val="32"/>
          <w:szCs w:val="32"/>
          <w:highlight w:val="none"/>
          <w:lang w:eastAsia="zh-CN"/>
        </w:rPr>
        <w:t>作要求，分解细化各项工作任务，结合实际，全面设置部门和单位整体绩效目标；二是做好绩效运行监控，发现问题及时纠正，确保绩效目标如期保质保量实现，同时按预算绩效管理要求，切实提高预算执行效率。发现的问题及原因：一是因工资调整、人员变动等导致的人员经费预算不够精准；二是公用经费不够精准，年中业务工作转至公司。下一步改进措施：一是加强学习，提高思想认识。组织单位财务人员认真学习《预算法》等相关法规、制度，提高单位领导对全面预算管理的重视程度，增强财务人员的预算意识；二是规范财务运行，加强预算支出管理。严格遵循“先有预算、后有支出”的原则，在资金支付管理方面，严格按照规定程序向财政部门申请用款，在财政部门批复的支出预算资金范围内申请使用一般预算支出经费。建立健全并认真执行各项资金使用管理制度，建立内部控制机制，资金使用严格履行审批程序，确保资金支出合法、真实。严格落实会计核算、报销审批制度，加强对资金使用环节的监督。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本部门无其他需说明事项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6B07EF7"/>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7F74E07"/>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4E80F10"/>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40722C"/>
    <w:rsid w:val="2C6F314E"/>
    <w:rsid w:val="2CA865F6"/>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B37FC6"/>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377FE8"/>
    <w:rsid w:val="4DD9249B"/>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625741"/>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A211ED"/>
    <w:rsid w:val="5ED44800"/>
    <w:rsid w:val="5F350BDE"/>
    <w:rsid w:val="5F61632C"/>
    <w:rsid w:val="5FA17648"/>
    <w:rsid w:val="5FE705CB"/>
    <w:rsid w:val="603D5080"/>
    <w:rsid w:val="60D0261B"/>
    <w:rsid w:val="618E3791"/>
    <w:rsid w:val="61947DCA"/>
    <w:rsid w:val="61A46A97"/>
    <w:rsid w:val="61D1382F"/>
    <w:rsid w:val="61F114A2"/>
    <w:rsid w:val="62150639"/>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9A6B50"/>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6483</Words>
  <Characters>20828</Characters>
  <Lines>0</Lines>
  <Paragraphs>0</Paragraphs>
  <TotalTime>6</TotalTime>
  <ScaleCrop>false</ScaleCrop>
  <LinksUpToDate>false</LinksUpToDate>
  <CharactersWithSpaces>20940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2025-09-15T05:31:54Z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D624B15633CD43C8BF9435464A96BF70</vt:lpwstr>
  </property>
</Properties>
</file>