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城乡义务教育项目校舍安全保障长效机制</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裕民县教育和科学技术局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裕民县教育和科学技术局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王琰</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一、基本情况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乡义务教育项目校舍安全保障长效机制项目是巩固义务教育基本均衡成果，完善办学标准，推动义务教育优质均衡发展和城乡一体化。加快城镇学校扩容增位，保障农业转移人口随迁子女平等享有基本公共教育服务。改善乡村小规模学校和乡镇青宿制学校条件，加强乡村教师队伍建设，提高乡村教师素质能力，完善留守儿童关爱体系，巩固义务教育控辍保学成果。提高民族地区教育质量和水平，加大国家通用语言文字推广力度。《国家教育发展</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t>十四五</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t>规划纲要》强调建设教育强国是中华民族伟大复兴的基础工程，必须把教育事业放在优先位置加快教育现代化，办好人民满意的教育。今后一个时期推动各级各类教育协调发展，努力让每个孩子都能享有公平而有质量的教育。教育基础设施项目是优先发展教育事业的一项重要手段，因此实施好本项目符合国家和自治区优先发展教育事业的实际需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根据地区财政局《关于提前下达2023年城乡义务教育补助经费预算直达资金的通知》（塔地财教〔2023〕54号）和自治区2023年城乡义务教育规划要求，项目建设内容：1.阿勒腾也木勒乡江布拉克小学篮球场、排水沟</w:t>
      </w:r>
      <w:bookmarkStart w:id="0" w:name="_GoBack"/>
      <w:bookmarkEnd w:id="0"/>
      <w:r>
        <w:rPr>
          <w:rStyle w:val="18"/>
          <w:rFonts w:hint="eastAsia" w:ascii="楷体" w:hAnsi="楷体" w:eastAsia="楷体"/>
          <w:b w:val="0"/>
          <w:bCs w:val="0"/>
          <w:spacing w:val="-4"/>
          <w:sz w:val="32"/>
          <w:szCs w:val="32"/>
        </w:rPr>
        <w:t>及运动设施建设。2.阿勒腾也木勒乡牧业寄宿制学校沥青路面1200㎡、屋面防水600㎡、排水沟维修、电缆铺设。3.第二小学综合楼：屋面保温及防水，室外及屋顶排水改造, 教学楼：外墙粉刷2088㎡。 综合楼：更换室内钢质门。4.第二中学室内更换暖气片及管道更换，新增室外暖气管道66m。 新建风雨操场1个，建筑面积1100平方米。5.哈拉布拉乡中心学校屋面防水，室内粉刷，室外混凝土地坪 6.吉也克乡牧业寄宿制中心小学：消防泵房改造，室外消防管道更换，室内消防设施更换及维修。7.新地乡中心校：室外台阶及地坪维修，安装混凝土路缘石。8.第一小学：新建值班室131.48㎡，采用成品混凝土吊装结构，新做室内外装修，电气及给排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8月开始实施，截至2023年10月，该项目已实施完成，各项任务指标全部完成。通过本项目的实施，有效解决了中小学校园基础设施损坏的现状，提升了中小学办学条件，增强了校园、校舍安全保障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2023年城乡义务教育项目校舍安全保障长效机制项目的实施主体为裕民县教育和科学技术局。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裕民县财政局《关于提前下达2023年城乡义务教育补助经费预算[中央直达资金]的通知》（裕财教〔2023〕5号）文件，城乡义务教育项目校舍安全保障长效机制项目预算安排资金总额621.64万元，其中财政资金621.64万元、其他资金0万元；2023年实际收到预算资金621.64万元，预算资金到位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578.57万元，预算执行率93.07%。项目资金主要用于支付8所学校维修费用249.05万元以及二中风雨操场建设费用329.52万元。资金支付未完成的原因是：1、维修改造项目结算审核后节约了建设资金；2、二中风雨操场结算审核未完成，项目质保金未支付。</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年项目计划实现目标如下：1、改造建设运动场1块，为学生提供更好的运动场地，不仅促进学生体育锻炼，还有助于培养他们的运动兴趣和团队合作精神，也为学生提供更多的活动空间，丰富校园文化生活，促进学生的全面发展。2、维修改造校园基础设施，提升教学环境，为学生创造更舒适、便利的学习空间。增强了学校的安全性，保障师生生命财产安全，让家长放心、学生安心。3、新建室内体育馆1个，优化教学条件，提高教学质量，有助于提升学生的学习效果和综合素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“维修学校数量”指标，预期指标值为“&gt;=10所”。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“建设项目验收合格率”指标，预期指标值为“=100%”。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“建设资金支付开始执行时间”指标，预期指标值为“2023年5月20日”。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“建设资金支付及时率”指标，预期指标值为“=100%”。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“小学建设项目资金”指标，预期指标值为“&lt;=200万元”；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“初中项目建设资金”指标，预期指标值为“&lt;=421.64万元”。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“有效改善办学条件”指标，预期指标值为“显著改善”。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（4）相关满意度目标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“教师学生满意度”指标，预期指标值为“&gt;=95%”。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二、绩效评价工作开展情况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（一）绩效评价的目的、对象和范围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城乡义务教育项目校舍安全保障长效机制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（二）评价工作简述</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城乡义务教育项目校舍安全保障长效机制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一级指标为：决策、过程、产出、成本、效益。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二级指标为：项目立项、绩效目标、资金投入、资金管理、组织实施、产出数量、产出质量、产出时效、经济成本、项目效益。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控制率、社会效益、服务对象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党组书记寇子江任评价组组长，绩效评价工作职责为检查项目绩效指标完成情况、审定项目支出绩效评价结果及项目支出绩效评价报告。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副局长王永群、哈斯叶提·木拉提任评价组副组长，绩效评价工作职责为组织和协调项目工作人员采取实地调查、资料检查等方式，核实项目绩效指标完成情况；组织受益对象对项目工作进行评价等。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项目班主任王琰任评价组成员，绩效评价工作职责为做好项目支出绩效评价工作的沟通协调工作，对项目实施情况进行实地调查，编写项目支出绩效评价报告。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经评价组通过实地调研、查阅资料等方式，采用综合分析法对项目的决策、管理、绩效进行综合评价分析。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三、综合评价情况及评价结论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城乡义务教育项目校舍安全保障长效机制项目的实施，解决了校园基础设施安全隐患和学生运动场不足问题，实现了校园安全和办学条件的提升，提升学生的学习效果和综合素质效益，该项目预算执行率达93.07%，项目预期绩效目标及大部分具体指标基本达成，成本指标未达成预期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城乡义务教育项目校舍安全保障长效机制项目的绩效目标和各项具体绩效指标实现情况进行了客观评价，最终评分为93.39分，具体得分情况为：项目决策15分、项目过程15分、项目产出33.39分、项目效益20分、项目满意度10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四、绩效评价指标分析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（一）项目决策情况（15分）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15 分，本项目实际得分15分，得分率为100%。具体各项指标得分如下：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本项目是由各中小学提出申报，于2022年11月批复设立，2023年我单位根据地区财政局《关于提前下达2023年城乡义务教育补助经费预算直达资金的通知》（塔地财教〔2023〕54号）和自治区2023年城乡义务教育规划要求组织实施该项目。项目立项符合国家法律法规、自治区和地区行业发展规划和政策要求，属于本部门履职所需。根据评分标准，该指标2.5分，得2.5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2.立项程序规范性：根据决策依据编制工作计划和经费预算，经过与部门政府分管领导进行沟通、筛选确定经费预算计划，上党委会研究确定最终预算方案。根据评分标准，该指标2.5分，得2.5分。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5.预算编制科学性：预算编制经过科学论证，内容与项目内容匹配，项目投资额与工作任务相匹配，根据评分标准，该指标3分，得3分。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6.资金分配合理性：本项目资金分配依据充分，资金分配额度合理，与项目地方实际相适应。根据评分标准，该指标2分，得2分。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（二）项目过程情况（15分）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 5个三级指标构成，权重分值为 15 分，本项目实际得分15分，得分率为100%。具体各项指标得分如下：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1.资金到位率：该项目所需财政资金能够足额拨付到位，本单位能够及时足额按照合同约定将专项资金拨付给单位，根据评分标准，该指标2分，得2分。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2.预算执行率：本项目预算编制较为详细，预算资金621.64万元，实际执行578.87万元，预算执行率为93.07%，项目资金支出总体能够按照预算执行，根据评分标准，该指标2分，得2分。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3.资金使用合规性：项目任务下达后，我单位制定了《基本建设资金管理制度》和管理规定对经费使用进行规范管理，财务制度健全、执行严格；根据评分标准，该指标3分，得3分。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4.管理制度健全性：我单位制定了《基本建设资金管理制度》等相关项目管理办法，同时对财政专项资金进行严格管理，基本做到了专款专用，根据评分标准，该指标4分，得4分。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政府分管领导沟通后，报党委会议研究执行，财务对资金的使用合法合规性进行监督，年底对资金使用效果进行自评，根据评分标准，该指标4分，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（三）项目产出情况（40分）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项目产出类指标包括产出数量、产出质量、产出时效、产出成本共四方面的内容，由6个三级指标构成，权重分为40分，本项目实际得分33.39分，得分率为83.45%。具体各项指标得分如下：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“维修学校数量”指标，预期指标值为“&gt;=10所”，根据学校校舍维修合同可知，实际完成8所学校校舍维修及1所学校风雨操场的建设，与预期目标基本一致，根据评分标准，该指标10分，得9分。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设项目验收合格率”指标，预期指标值为“=100%”，根据现场核查，按验收单逐项验收，目前第二中学风雨操场建设、各学校维护维修已完成，第二中学风雨操场建设完成供全校师生开展体育活动、各类大型活动演出以及日常广播体操等活动抵用，风雨操场得到了有效利用，有效利用率达100%；各学校校舍维修，有效提高校舍的安全性和改善校园环境。与预期目标一致，根据评分标准，该指标10分，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“建设资金支付开始执行时间”指标，预期指标值为“2023年5月20日”；根据资金支付凭证显示，该项目于2023年6月8日开始资金支付，根据评分标准，该指标5分，得0分。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设资金支付及时率”指标，预期指标值为“=100%”；根据支付凭证显示，该项目按维修进度支付要求进行及时支付，资金支付及时率符合合同签署约定，与预期目标指标一致，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经济成本“小学建设项目资金”指标，预期指标值为“≤200万元”，根据项目合同和资金支付凭证显示，本项目2023年共计支付工程款200万元；根据评分标准，该指标4分，得4分。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初中项目建设资金”指标，预期指标值为“≤421.64万元”，根据项目合同和资金支付凭证显示，本项目2023年共计支付工程款378.87万元，经费支出能够控制在年度计划成本范围内，根据评分标准，该指标6分，得5.39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（四）项目效益情况（20分）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项目效益类指标由社会效益1个二级指标和1个三级指标构成，权重分为20分，本项目实际得分20分，得分率为100%。具体各项指标得分如下：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“有效改善办学条件”指标，预期指标值为“显著改善”，根据本单位年度考核情况，实际完成值为“达成年度指标”根据评分标准，该指标20分，得20分。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p>
    <w:p>
      <w:pPr>
        <w:spacing w:line="540" w:lineRule="exact"/>
        <w:ind w:firstLine="567"/>
        <w:rPr>
          <w:rStyle w:val="18"/>
          <w:rFonts w:ascii="楷体" w:hAnsi="楷体" w:eastAsia="楷体"/>
          <w:b w:val="0"/>
          <w:bCs w:val="0"/>
          <w:spacing w:val="-4"/>
          <w:sz w:val="32"/>
          <w:szCs w:val="32"/>
        </w:rPr>
      </w:pP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hint="eastAsia" w:ascii="楷体" w:hAnsi="楷体" w:eastAsia="楷体"/>
          <w:b/>
          <w:spacing w:val="-4"/>
          <w:sz w:val="32"/>
          <w:szCs w:val="32"/>
        </w:rPr>
      </w:pPr>
    </w:p>
    <w:p>
      <w:pPr>
        <w:spacing w:line="540" w:lineRule="exact"/>
        <w:ind w:firstLine="567" w:firstLineChars="181"/>
        <w:rPr>
          <w:rStyle w:val="18"/>
          <w:rFonts w:ascii="楷体" w:hAnsi="楷体" w:eastAsia="楷体"/>
          <w:bCs w:val="0"/>
          <w:spacing w:val="-4"/>
          <w:sz w:val="32"/>
          <w:szCs w:val="32"/>
        </w:rPr>
      </w:pPr>
      <w:r>
        <w:rPr>
          <w:rFonts w:hint="eastAsia" w:ascii="楷体" w:hAnsi="楷体" w:eastAsia="楷体"/>
          <w:b/>
          <w:spacing w:val="-4"/>
          <w:sz w:val="32"/>
          <w:szCs w:val="32"/>
        </w:rPr>
        <w:t>（五）满意度指标完成情况分析</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（五）满意度指标完成情况分析（10分）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“教师学生满意度”指标，预期指标值为“≥95%”，根据对搬入新教学楼上课的教师学生进行满意度问卷调查的结果可知，学生满意度达100%，根据评分标准，该指标10分，得10分。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五、预算执行进度与绩效指标偏差情况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乡义务教育项目校舍安全保障长效机制项目预算金额621.64万元，实际到位621.64万元，实际支出578.57万元，预算执行率为93.07%，项目绩效指标总体完成率为97.47%，偏差率为2.53%，偏差原因是：1、维修改造项目结算审核后节约了建设资金；2、二中风雨操场结算审核未完成，项目质保金未支付；拟采取的措施是：1、优化项目管理，尽量使用完预算金额；2、加快项目结算审核流程，质保期到后及时拨付质保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2023年本单位负责实施的城乡义务教育项目校舍安全保障长效机制项目当中，数量指标、成本指标和时效指标的实际完成情况未能达到预算指标值，存在偏差的原因如下：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1.“维修学校数量”指标，预期指标值为“&gt;=10所”，根据学校校舍维修合同可知，实际完成8所学校校舍维修及1所学校风雨操场的建设，存在偏差原因是年初预估值偏高。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经济成本；“初中项目建设资金”指标，预期指标值为“&lt;=421.64万元”，实际完成值为“=378.57万元”，存在偏差原因是1、维修改造项目结算审核后节约了建设资金；2、二中风雨操场结算审核未完成，项目质保金未支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3.“建设资金支付开始执行时间”指标，预期指标值为“2023年5月20日”，实际完成值为“2023年6月8日”，存在偏差的原因是：项目资金支付材料准备、过会、计划、支付的完成时间长，影响了支付的按时完成。</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六、主要经验及做法、存在的问题及原因分析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1、严格的质量控制：对施工过程进行严格的质量监控，确保各项工程的质量达标。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2、有效的沟通协调：与各学校、施工团队等相关方面保持良好的沟通，及时解决问题。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3、安全生产管理：重视施工过程中的安全问题，确保施工人员和学校师生的安全。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4、合理的进度安排：制定合理的施工进度计划，保证项目按时完成。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5、充分考虑学校需求：根据学校的实际需求进行建设，提高项目的实用性。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6、重视环保节能：在项目建设中采用环保材料和节能技术，减少对环境的影响。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七、有关建议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1.加强培训，提高相关人员工作水平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塔城地区关于绩效管理工作档案资料归档的相关要求，强化收集力度，确保归档资料的完整齐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3.高度重视，加强领导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无其他说明内容。</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048AA"/>
    <w:rsid w:val="00032036"/>
    <w:rsid w:val="00056465"/>
    <w:rsid w:val="00073CC5"/>
    <w:rsid w:val="00102DFF"/>
    <w:rsid w:val="00121AE4"/>
    <w:rsid w:val="00146AAD"/>
    <w:rsid w:val="001B3A40"/>
    <w:rsid w:val="00291BC0"/>
    <w:rsid w:val="00311DBE"/>
    <w:rsid w:val="00397B01"/>
    <w:rsid w:val="004366A8"/>
    <w:rsid w:val="00502BA7"/>
    <w:rsid w:val="005162F1"/>
    <w:rsid w:val="00535153"/>
    <w:rsid w:val="00554F82"/>
    <w:rsid w:val="0056390D"/>
    <w:rsid w:val="005719B0"/>
    <w:rsid w:val="005D10D6"/>
    <w:rsid w:val="006443A3"/>
    <w:rsid w:val="00764620"/>
    <w:rsid w:val="00786FF3"/>
    <w:rsid w:val="007D32FE"/>
    <w:rsid w:val="007E3CE9"/>
    <w:rsid w:val="00855E3A"/>
    <w:rsid w:val="0091457F"/>
    <w:rsid w:val="00922CB9"/>
    <w:rsid w:val="009B210C"/>
    <w:rsid w:val="009C229E"/>
    <w:rsid w:val="009E5CD9"/>
    <w:rsid w:val="00A26421"/>
    <w:rsid w:val="00A34588"/>
    <w:rsid w:val="00A4293B"/>
    <w:rsid w:val="00A67D50"/>
    <w:rsid w:val="00A8691A"/>
    <w:rsid w:val="00AC1946"/>
    <w:rsid w:val="00AD27E7"/>
    <w:rsid w:val="00AD591D"/>
    <w:rsid w:val="00B069C7"/>
    <w:rsid w:val="00B40063"/>
    <w:rsid w:val="00B41F61"/>
    <w:rsid w:val="00B91FFD"/>
    <w:rsid w:val="00BA46E6"/>
    <w:rsid w:val="00C56C72"/>
    <w:rsid w:val="00CA6457"/>
    <w:rsid w:val="00CE2FD9"/>
    <w:rsid w:val="00D17F2E"/>
    <w:rsid w:val="00D30354"/>
    <w:rsid w:val="00DB6ECB"/>
    <w:rsid w:val="00DF42A0"/>
    <w:rsid w:val="00E30E91"/>
    <w:rsid w:val="00E769FE"/>
    <w:rsid w:val="00EA2CBE"/>
    <w:rsid w:val="00F32FEE"/>
    <w:rsid w:val="00FB10BB"/>
    <w:rsid w:val="00FD2A57"/>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23D00F4"/>
    <w:rsid w:val="6C3A69EF"/>
    <w:rsid w:val="6F805574"/>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103</Words>
  <Characters>588</Characters>
  <Lines>4</Lines>
  <Paragraphs>1</Paragraphs>
  <TotalTime>4</TotalTime>
  <ScaleCrop>false</ScaleCrop>
  <LinksUpToDate>false</LinksUpToDate>
  <CharactersWithSpaces>690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2024-06-03T02:53:00Z</dcterms:created>
  <dc:creator>赵 恺（预算处）</dc:creator>
  <cp:lastModifiedBy>Administrator</cp:lastModifiedBy>
  <cp:lastPrinted>2018-12-31T10:56:00Z</cp:lastPrinted>
  <dcterms:modified xsi:type="dcterms:W3CDTF">2025-09-15T05:51:24Z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C734C92AAAF24344A0E4232D8EB3359B</vt:lpwstr>
  </property>
  <property fmtid="{D5CDD505-2E9C-101B-9397-08002B2CF9AE}" pid="4" name="_DocHome">
    <vt:i4>-178212855</vt:i4>
  </property>
</Properties>
</file>