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新疆塔城地区裕民县人民医院</w:t>
      </w:r>
      <w:r>
        <w:rPr>
          <w:rFonts w:hint="eastAsia" w:ascii="方正小标宋_GBK" w:hAnsi="宋体" w:eastAsia="方正小标宋_GBK"/>
          <w:color w:val="auto"/>
          <w:sz w:val="44"/>
          <w:szCs w:val="44"/>
        </w:rPr>
        <w:t>2021</w:t>
      </w:r>
      <w:r>
        <w:rPr>
          <w:rFonts w:hint="eastAsia" w:ascii="方正小标宋_GBK" w:hAnsi="宋体" w:eastAsia="方正小标宋_GBK"/>
          <w:color w:val="auto"/>
          <w:sz w:val="44"/>
          <w:szCs w:val="44"/>
          <w:highlight w:val="none"/>
        </w:rPr>
        <w:t>年度部门决算公开说明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方正小标宋_GBK" w:hAnsi="宋体" w:eastAsia="方正小标宋_GBK"/>
          <w:color w:val="auto"/>
          <w:sz w:val="44"/>
          <w:szCs w:val="44"/>
          <w:highlight w:val="none"/>
        </w:rPr>
        <w:br w:type="page"/>
      </w: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_Toc32314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_Toc30567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_Toc29374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第二部分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_Toc25314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_Toc12142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_Toc13201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_Toc26564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_Toc20360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_Toc30870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七</w:t>
      </w:r>
      <w:r>
        <w:rPr>
          <w:rFonts w:hint="eastAsia" w:ascii="仿宋_GB2312" w:hAnsi="仿宋_GB2312" w:eastAsia="仿宋_GB2312" w:cs="仿宋_GB2312"/>
          <w:bCs/>
          <w:kern w:val="0"/>
          <w:sz w:val="32"/>
          <w:szCs w:val="32"/>
          <w:highlight w:val="none"/>
        </w:rPr>
        <w:t>、一般公共预算</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八、政府性基金预算财政拨款收入支出决算情况说明</w:t>
      </w:r>
      <w:r>
        <w:rPr>
          <w:rFonts w:hint="eastAsia" w:ascii="仿宋_GB2312" w:hAnsi="仿宋_GB2312" w:eastAsia="仿宋_GB2312" w:cs="仿宋_GB2312"/>
          <w:sz w:val="32"/>
          <w:szCs w:val="32"/>
          <w:highlight w:val="none"/>
        </w:rPr>
        <w:fldChar w:fldCharType="end"/>
      </w:r>
    </w:p>
    <w:p>
      <w:pPr>
        <w:rPr>
          <w:rFonts w:hint="eastAsia"/>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_Toc5810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九、国有资本经营预算财政拨款收入支出决算情况说明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_Toc1235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_Toc14519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_Toc8391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_Toc11283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十一、预算绩效的情况说明</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_Toc3250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第三部分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_Toc22784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_Toc2183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_Toc24532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_Toc32434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_Toc28786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_Toc14869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_Toc8884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_Toc29106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七、《一般公共预算财政拨款“三公”经费支出决算表》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rPr>
      </w:pPr>
      <w:r>
        <w:rPr>
          <w:rFonts w:hint="eastAsia" w:ascii="仿宋_GB2312" w:hAnsi="仿宋_GB2312" w:eastAsia="仿宋_GB2312" w:cs="仿宋_GB2312"/>
          <w:bCs/>
          <w:kern w:val="0"/>
          <w:sz w:val="32"/>
          <w:szCs w:val="32"/>
          <w:highlight w:val="none"/>
        </w:rPr>
        <w:fldChar w:fldCharType="begin"/>
      </w:r>
      <w:r>
        <w:rPr>
          <w:rFonts w:hint="eastAsia" w:ascii="仿宋_GB2312" w:hAnsi="仿宋_GB2312" w:eastAsia="仿宋_GB2312" w:cs="仿宋_GB2312"/>
          <w:bCs/>
          <w:kern w:val="0"/>
          <w:sz w:val="32"/>
          <w:szCs w:val="32"/>
          <w:highlight w:val="none"/>
        </w:rPr>
        <w:instrText xml:space="preserve"> HYPERLINK \l _Toc7643 </w:instrText>
      </w:r>
      <w:r>
        <w:rPr>
          <w:rFonts w:hint="eastAsia" w:ascii="仿宋_GB2312" w:hAnsi="仿宋_GB2312" w:eastAsia="仿宋_GB2312" w:cs="仿宋_GB2312"/>
          <w:bCs/>
          <w:kern w:val="0"/>
          <w:sz w:val="32"/>
          <w:szCs w:val="32"/>
          <w:highlight w:val="none"/>
        </w:rPr>
        <w:fldChar w:fldCharType="separate"/>
      </w:r>
      <w:r>
        <w:rPr>
          <w:rFonts w:hint="eastAsia" w:ascii="仿宋_GB2312" w:hAnsi="仿宋_GB2312" w:eastAsia="仿宋_GB2312" w:cs="仿宋_GB2312"/>
          <w:bCs/>
          <w:kern w:val="0"/>
          <w:sz w:val="32"/>
          <w:szCs w:val="32"/>
          <w:highlight w:val="none"/>
        </w:rPr>
        <w:t>八、《政府性基金预算财政拨款收入支出决算表》</w:t>
      </w:r>
      <w:r>
        <w:rPr>
          <w:rFonts w:hint="eastAsia" w:ascii="仿宋_GB2312" w:hAnsi="仿宋_GB2312" w:eastAsia="仿宋_GB2312" w:cs="仿宋_GB2312"/>
          <w:bCs/>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kern w:val="0"/>
          <w:sz w:val="32"/>
          <w:szCs w:val="32"/>
          <w:highlight w:val="none"/>
          <w:lang w:eastAsia="zh-CN"/>
        </w:rPr>
      </w:pPr>
      <w:r>
        <w:rPr>
          <w:rFonts w:hint="eastAsia" w:ascii="仿宋_GB2312" w:hAnsi="仿宋_GB2312" w:eastAsia="仿宋_GB2312" w:cs="仿宋_GB2312"/>
          <w:bCs/>
          <w:kern w:val="0"/>
          <w:sz w:val="32"/>
          <w:szCs w:val="32"/>
          <w:highlight w:val="none"/>
          <w:lang w:eastAsia="zh-CN"/>
        </w:rPr>
        <w:t>九、《国有资本经营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bCs/>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sz w:val="32"/>
          <w:szCs w:val="32"/>
          <w:highlight w:val="none"/>
        </w:rPr>
        <w:fldChar w:fldCharType="end"/>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bookmarkStart w:id="0" w:name="_Toc32314"/>
      <w:bookmarkStart w:id="1" w:name="_Toc24028"/>
      <w:r>
        <w:rPr>
          <w:rFonts w:hint="eastAsia" w:ascii="黑体" w:hAnsi="黑体" w:eastAsia="黑体"/>
          <w:color w:val="auto"/>
          <w:sz w:val="32"/>
          <w:szCs w:val="32"/>
          <w:highlight w:val="none"/>
        </w:rPr>
        <w:t>第一部分 部门单位概况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(一)单位规格:财政差额拔款事业单位；</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（二）单位性质：地区医院为差额事业单位，主要是为裕民县各族人民提供医疗、保健的二级甲等综合医院；</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（三）机构情况：机构数与上一年相比没有变化，只有一个机构，无其他分支机构；</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（四）单位执行会计制度：执行行政事业政府会计制度；</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（五）单位预算级次说明：一级预算。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新疆塔城地区裕民县人民医院2021年度，实有人数191人，其中：在职人员119人，离休人员0人，退休人员72人。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从部门决算单位构成看，新疆塔城地区裕民县人民医院部门决算包括：新疆塔城地区裕民县人民医院决算。单位无下属预算单位，下设20个处室，分别是：门诊、发热门诊、急诊、内一科、内二科、儿科、外科、血透室、中医理疗科、妇产科、传染科、手麻科、检验科、功能科、影像科、供应室、药械科、办公室、财务科、后勤科。</w:t>
      </w:r>
    </w:p>
    <w:p>
      <w:pPr>
        <w:keepNext w:val="0"/>
        <w:keepLines w:val="0"/>
        <w:pageBreakBefore w:val="0"/>
        <w:widowControl w:val="0"/>
        <w:kinsoku/>
        <w:wordWrap/>
        <w:overflowPunct/>
        <w:topLinePunct w:val="0"/>
        <w:autoSpaceDE/>
        <w:autoSpaceDN/>
        <w:bidi w:val="0"/>
        <w:adjustRightInd/>
        <w:snapToGrid/>
        <w:spacing w:line="240" w:lineRule="auto"/>
        <w:ind w:left="1680" w:leftChars="0" w:firstLine="420" w:firstLineChars="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第二部分 部门决算情况说明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6" w:name="_Toc12566"/>
      <w:bookmarkStart w:id="7" w:name="_Toc25314"/>
      <w:r>
        <w:rPr>
          <w:rFonts w:hint="eastAsia" w:ascii="黑体" w:hAnsi="黑体" w:eastAsia="黑体" w:cs="宋体"/>
          <w:bCs/>
          <w:color w:val="auto"/>
          <w:kern w:val="0"/>
          <w:sz w:val="32"/>
          <w:szCs w:val="32"/>
          <w:highlight w:val="none"/>
        </w:rPr>
        <w:t>一、收入支出决算总体情况说明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b w:val="0"/>
          <w:bCs w:val="0"/>
          <w:color w:val="auto"/>
          <w:sz w:val="32"/>
          <w:szCs w:val="32"/>
          <w:highlight w:val="none"/>
          <w:lang w:eastAsia="zh-CN"/>
        </w:rPr>
      </w:pPr>
      <w:r>
        <w:rPr>
          <w:rFonts w:hint="eastAsia" w:ascii="仿宋_GB2312" w:eastAsia="仿宋_GB2312"/>
          <w:b w:val="0"/>
          <w:bCs w:val="0"/>
          <w:color w:val="auto"/>
          <w:spacing w:val="0"/>
          <w:sz w:val="32"/>
          <w:szCs w:val="32"/>
          <w:highlight w:val="none"/>
          <w:lang w:val="en-US" w:eastAsia="zh-CN"/>
        </w:rPr>
        <w:t>2021年度本年收入6,948.79万元，与上年相比，减少17.22万元，降低0.25%</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财政拨款收入比去年减少915.24万元，其中：2020年发热门诊建设项目1100万元，本年没有这项收入，其他公共卫生项目与上年相比减少135.90万元，突发公共卫生事件应急处理项目与上年相比减少103.34万元，公共卫生项目与上年相比增加18.46万元，人员经费增加405.54万元；本年事业收入比上年增加516.04万元，其他收入比去年增加381.98万元</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lang w:val="en-US" w:eastAsia="zh-CN"/>
        </w:rPr>
        <w:t>本年支出6,877.83万元，与上年相比，减少1,328.46万元，降低16.19%</w:t>
      </w:r>
      <w:r>
        <w:rPr>
          <w:rFonts w:hint="eastAsia" w:ascii="仿宋_GB2312" w:eastAsia="仿宋_GB2312"/>
          <w:b w:val="0"/>
          <w:bCs w:val="0"/>
          <w:color w:val="auto"/>
          <w:sz w:val="32"/>
          <w:szCs w:val="32"/>
          <w:highlight w:val="none"/>
          <w:lang w:eastAsia="zh-CN"/>
        </w:rPr>
        <w:t>，主要原因是</w:t>
      </w:r>
      <w:r>
        <w:rPr>
          <w:rFonts w:hint="eastAsia"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lang w:val="en-US" w:eastAsia="zh-CN"/>
        </w:rPr>
        <w:t>是医院加强管理 ，减少不避要支出。与上年相比专项疫情项目资金减少639.74万元，基本支出中人员经费减少688.72万元</w:t>
      </w:r>
      <w:r>
        <w:rPr>
          <w:rFonts w:hint="eastAsia" w:ascii="仿宋_GB2312" w:eastAsia="仿宋_GB2312"/>
          <w:b w:val="0"/>
          <w:bCs w:val="0"/>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142"/>
      <w:bookmarkStart w:id="9"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本年收入6,948.79万元，其中：财政拨款收入2,261.59万元，占32.55%；上级补助收入0.00万元，占0.00%；事业收入4,128.62万元，占59.41%；经营收入0.00万元，占0.00%；附属单位上缴收入0.00万元，占0.00%；其他收入558.58万元，占8.04%。</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0" w:name="_Toc27961"/>
      <w:bookmarkStart w:id="11" w:name="_Toc13201"/>
      <w:r>
        <w:rPr>
          <w:rFonts w:hint="eastAsia" w:ascii="黑体" w:hAnsi="黑体" w:eastAsia="黑体" w:cs="宋体"/>
          <w:bCs/>
          <w:color w:val="auto"/>
          <w:kern w:val="0"/>
          <w:sz w:val="32"/>
          <w:szCs w:val="32"/>
          <w:highlight w:val="none"/>
          <w:lang w:eastAsia="zh-CN"/>
        </w:rPr>
        <w:t>三、支出决算情况说明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pacing w:val="0"/>
          <w:sz w:val="32"/>
          <w:szCs w:val="32"/>
          <w:highlight w:val="none"/>
          <w:lang w:val="en-US" w:eastAsia="zh-CN"/>
        </w:rPr>
        <w:t>2021年度本年支出6,877.83万元，其中：基本支出5,604.63万元，占81.49%；项目支出1,273.20万元，占18.51%；上缴上级支出0.00万元，占0.00%；经营支出0.00万元，占0.00%；对附属单位补助支出0.00万元，占0.00%。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2" w:name="_Toc26564"/>
      <w:bookmarkStart w:id="13" w:name="_Toc4393"/>
      <w:r>
        <w:rPr>
          <w:rFonts w:hint="eastAsia" w:ascii="黑体" w:hAnsi="黑体" w:eastAsia="黑体" w:cs="宋体"/>
          <w:bCs/>
          <w:color w:val="auto"/>
          <w:kern w:val="0"/>
          <w:sz w:val="32"/>
          <w:szCs w:val="32"/>
          <w:highlight w:val="none"/>
          <w:lang w:eastAsia="zh-CN"/>
        </w:rPr>
        <w:t>四、财政拨款收入支出决算总体情况说明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2021年度财政拨款收入2,261.59万元，与上年相比，减少915.24万元，降低28.81%</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上年有疫情专项项目资金，所以今年会降低，基建项目1100万元，本年没有这个项目资金</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财政拨款支出2,261.59万元，与上年相比，减少1,160.89万元，降低33.92%</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上年有疫情专项项目资金，所以今年会降低，基建项目1100万元，本年没有这个项目资金</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与年初预算数相比情况：财政拨款收入年初预算数1,707.07万元，决算数2,261.59万元，预决算差异率32.48%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年中新增项目资金100万元及人员每年的普调工资及专业技术人员考职称后人员工资水平逐年提高</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财政拨款支出年初预算数1,707.07万元，决算数2,261.59万元，预决算差异率32.48%</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年中新增项目资金100万元及人员每年的普调工资及专业技术人员考职称后人员工资水平逐年提高</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4" w:name="_Toc13833"/>
      <w:bookmarkStart w:id="15"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4"/>
      <w:bookmarkEnd w:id="1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2021年度一般公共预算财政拨款支出2,261.59万元。按功能分类科目项级科目公开，其中：</w:t>
      </w:r>
    </w:p>
    <w:p>
      <w:pPr>
        <w:keepNext w:val="0"/>
        <w:keepLines w:val="0"/>
        <w:pageBreakBefore w:val="0"/>
        <w:widowControl w:val="0"/>
        <w:kinsoku/>
        <w:wordWrap/>
        <w:overflowPunct/>
        <w:topLinePunct w:val="0"/>
        <w:bidi w:val="0"/>
        <w:adjustRightInd/>
        <w:snapToGrid/>
        <w:spacing w:line="240" w:lineRule="auto"/>
        <w:textAlignment w:val="auto"/>
        <w:rPr>
          <w:rFonts w:hint="default" w:ascii="仿宋_GB2312" w:eastAsia="仿宋_GB2312"/>
          <w:b/>
          <w:bCs/>
          <w:color w:val="auto"/>
          <w:sz w:val="32"/>
          <w:szCs w:val="32"/>
          <w:highlight w:val="none"/>
          <w:lang w:val="en-US" w:eastAsia="zh-CN"/>
        </w:rPr>
      </w:pPr>
      <w:r>
        <w:rPr>
          <w:rFonts w:hint="eastAsia" w:ascii="仿宋_GB2312" w:eastAsia="仿宋_GB2312"/>
          <w:color w:val="auto"/>
          <w:sz w:val="32"/>
          <w:szCs w:val="32"/>
          <w:highlight w:val="none"/>
          <w:lang w:val="en-US" w:eastAsia="zh-CN"/>
        </w:rPr>
        <w:t xml:space="preserve">    2060199 其他科学技术管理事务支出19.73万元;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2080502 事业单位离退休62.60万元;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2080505 机关事业单位基本养老保险缴费支出161.03万元;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2080506 机关事业单位职业年金缴费支出80.52万元;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2100201 综合医院1,109.98万元;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2100299 其他公立医院支出315.00万元;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2100408 基本公共卫生服务43.96万元;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2100409 重大公共卫生服务15.26万元;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2100410 突发公共卫生事件应急处理19.92万元;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2100499 其他公共卫生支出140.72万元;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2101102 事业单位医疗93.96万元;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2210106 公共租赁住房78.27万元;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2210201 住房公积金115.65万元;</w:t>
      </w:r>
      <w:r>
        <w:rPr>
          <w:rFonts w:hint="eastAsia" w:ascii="仿宋_GB2312" w:eastAsia="仿宋_GB2312"/>
          <w:color w:val="auto"/>
          <w:sz w:val="32"/>
          <w:szCs w:val="32"/>
          <w:highlight w:val="none"/>
          <w:lang w:val="en-US" w:eastAsia="zh-CN"/>
        </w:rPr>
        <w:br w:type="textWrapping"/>
      </w:r>
      <w:r>
        <w:rPr>
          <w:rFonts w:hint="eastAsia" w:ascii="仿宋_GB2312" w:eastAsia="仿宋_GB2312"/>
          <w:color w:val="auto"/>
          <w:sz w:val="32"/>
          <w:szCs w:val="32"/>
          <w:highlight w:val="none"/>
          <w:lang w:val="en-US" w:eastAsia="zh-CN"/>
        </w:rPr>
        <w:t xml:space="preserve">    2299999 其他支出4.99万元</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6" w:name="_Toc11146"/>
      <w:bookmarkStart w:id="17" w:name="_Toc30870"/>
      <w:r>
        <w:rPr>
          <w:rFonts w:hint="eastAsia" w:ascii="黑体" w:hAnsi="黑体" w:eastAsia="黑体" w:cs="宋体"/>
          <w:bCs/>
          <w:color w:val="auto"/>
          <w:kern w:val="0"/>
          <w:sz w:val="32"/>
          <w:szCs w:val="32"/>
          <w:highlight w:val="none"/>
          <w:lang w:eastAsia="zh-CN"/>
        </w:rPr>
        <w:t>六、一般公共预算财政拨款基本支出决算情况说明</w:t>
      </w:r>
      <w:bookmarkEnd w:id="16"/>
      <w:bookmarkEnd w:id="1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2021年度一般公共预算财政拨款基本支出1,643.47万元，其中：</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人员经费1,643.47万元，包括：基本工资438.05万元、津贴补贴223.64万元、奖金146.09万元、绩效工资293.18万元、机关事业单位基本养老保险缴费161.03万元、职业年金缴费80.52万元、职工基本医疗保险缴费93.96万元、其他社会保障缴费8.91万元、住房公积金115.65万元、其他工资福利支出19.73万元、退休费14.40万元、抚恤金6.42万元、医疗费补助41.78万元、奖励金0.11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公用经费0.00万元，包括：无此项支出</w:t>
      </w:r>
      <w:bookmarkStart w:id="52" w:name="_GoBack"/>
      <w:bookmarkEnd w:id="52"/>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18" w:name="_Toc21518"/>
      <w:bookmarkStart w:id="19" w:name="_Toc7190"/>
      <w:r>
        <w:rPr>
          <w:rFonts w:hint="eastAsia" w:ascii="黑体" w:hAnsi="黑体" w:eastAsia="黑体" w:cs="宋体"/>
          <w:bCs/>
          <w:color w:val="auto"/>
          <w:kern w:val="0"/>
          <w:sz w:val="32"/>
          <w:szCs w:val="32"/>
          <w:highlight w:val="none"/>
          <w:lang w:eastAsia="zh-CN"/>
        </w:rPr>
        <w:t>七</w:t>
      </w:r>
      <w:r>
        <w:rPr>
          <w:rFonts w:hint="eastAsia" w:ascii="黑体" w:hAnsi="黑体" w:eastAsia="黑体" w:cs="宋体"/>
          <w:bCs/>
          <w:color w:val="auto"/>
          <w:kern w:val="0"/>
          <w:sz w:val="32"/>
          <w:szCs w:val="32"/>
          <w:highlight w:val="none"/>
        </w:rPr>
        <w:t>、一般公共预算</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bookmarkEnd w:id="18"/>
      <w:bookmarkEnd w:id="1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2021年度一般公共预算“三公”经费支出决算0.00万元，比上年增加0.00万元，增长0.00%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其中，因公出国（境）费支出0.00万元，占0.00%，比上年增加0.00万元，增长0.00%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公务用车购置及运行维护费支出0.00万元，占0%，比上年增加0.00万元，增长0.00%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公务接待费支出0.00万元，占0%，比上年增加0.00万元，增长0.00%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因公出国（境）费支出0.00万元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公务用车购置及运行维护费0.00万元，其中，公务用车购置费0.00万元，公务用车运行维护费0.00万元。</w:t>
      </w:r>
      <w:r>
        <w:rPr>
          <w:rFonts w:hint="eastAsia" w:ascii="仿宋_GB2312" w:eastAsia="仿宋_GB2312"/>
          <w:color w:val="auto"/>
          <w:sz w:val="32"/>
          <w:szCs w:val="32"/>
          <w:highlight w:val="none"/>
        </w:rPr>
        <w:t>公务用车运行维护费开支内容包括</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公务用车购置数0辆，公务用车保有量0辆。</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公务接待费0.00万元</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与年初预算数相比情况：一般公共预算“三公”经费支出年初预算数0.00万元，决算数0.00万元，预决算差异率0.00%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其中：因公出国（境）费预算数0.00万元，决算数0.00万元，预决算差异率0.00%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公务用车购置费预算数0.00万元，决算数0.00万元，预决算差异率0.00%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公务用车运行费预算数0.00万元，决算数0.00万元，预决算差异率0.00%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公务接待费预算数0.00万元，决算数0.00万元，预决算差异率0.00%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主要原因是：</w:t>
      </w:r>
      <w:r>
        <w:rPr>
          <w:rFonts w:hint="eastAsia" w:ascii="仿宋_GB2312" w:eastAsia="仿宋_GB2312"/>
          <w:color w:val="auto"/>
          <w:sz w:val="32"/>
          <w:szCs w:val="32"/>
          <w:highlight w:val="none"/>
          <w:lang w:val="en-US" w:eastAsia="zh-CN"/>
        </w:rPr>
        <w:t>是本单位为差额事业单位，无此项预算收入</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0" w:name="_Toc7927"/>
      <w:bookmarkStart w:id="21" w:name="_Toc5810"/>
      <w:r>
        <w:rPr>
          <w:rFonts w:hint="eastAsia" w:ascii="黑体" w:hAnsi="黑体" w:eastAsia="黑体" w:cs="宋体"/>
          <w:bCs/>
          <w:color w:val="auto"/>
          <w:kern w:val="0"/>
          <w:sz w:val="32"/>
          <w:szCs w:val="32"/>
          <w:highlight w:val="none"/>
          <w:lang w:eastAsia="zh-CN"/>
        </w:rPr>
        <w:t>八、政府性基金预算收入支出决算情况说明</w:t>
      </w:r>
      <w:bookmarkEnd w:id="20"/>
      <w:bookmarkEnd w:id="2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我单位本年度无政府性基金预算财政拨款收入支出，政府性基金预算财政拨款收入支出决算表为空表。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lang w:eastAsia="zh-CN"/>
        </w:rPr>
      </w:pPr>
      <w:r>
        <w:rPr>
          <w:rFonts w:hint="eastAsia" w:ascii="黑体" w:hAnsi="黑体" w:eastAsia="黑体" w:cs="宋体"/>
          <w:bCs/>
          <w:kern w:val="0"/>
          <w:sz w:val="32"/>
          <w:szCs w:val="32"/>
          <w:highlight w:val="none"/>
          <w:lang w:eastAsia="zh-CN"/>
        </w:rPr>
        <w:t>九、国有资本经营预算财政拨款收入支出决算情况说明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val="en-US" w:eastAsia="zh-CN"/>
        </w:rPr>
        <w:t>我单位本年度无国有资本经营预算财政拨款收入支出，国有资本经营预算财政拨款收入支出决算表为空表。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22" w:name="_Toc1235"/>
      <w:bookmarkStart w:id="23" w:name="_Toc7314"/>
      <w:r>
        <w:rPr>
          <w:rFonts w:hint="eastAsia" w:ascii="黑体" w:hAnsi="黑体" w:eastAsia="黑体" w:cs="宋体"/>
          <w:bCs/>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rPr>
      </w:pPr>
      <w:bookmarkStart w:id="24" w:name="_Toc14519"/>
      <w:bookmarkStart w:id="25"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4"/>
      <w:bookmarkEnd w:id="25"/>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pacing w:val="0"/>
          <w:sz w:val="32"/>
          <w:szCs w:val="32"/>
          <w:highlight w:val="none"/>
          <w:lang w:val="en-US" w:eastAsia="zh-CN"/>
        </w:rPr>
        <w:t>2021年度新疆塔城地区裕民县人民医院（事业单位）日常公用经费0.00万元，比上年增加0.00万元，增长0.00%</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val="en-US" w:eastAsia="zh-CN"/>
        </w:rPr>
        <w:t>本单位为差额事业单位，无此项预算收入</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bookmarkStart w:id="26" w:name="_Toc227"/>
      <w:bookmarkStart w:id="27" w:name="_Toc26704"/>
      <w:r>
        <w:rPr>
          <w:rFonts w:hint="eastAsia" w:ascii="黑体" w:hAnsi="黑体" w:eastAsia="黑体"/>
          <w:color w:val="auto"/>
          <w:sz w:val="32"/>
          <w:szCs w:val="32"/>
          <w:highlight w:val="none"/>
          <w:lang w:eastAsia="zh-CN"/>
        </w:rPr>
        <w:t>（二）政府采购情况</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val="en-US" w:eastAsia="zh-CN"/>
        </w:rPr>
        <w:t>2021年度政府采购支出总额25.04万元，其中：政府采购货物支出13.24万元、政府采购工程支出0.00万元、政府采购服务支出11.80万元。</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bookmarkStart w:id="28" w:name="_Toc8391"/>
      <w:bookmarkStart w:id="29" w:name="_Toc4591"/>
      <w:r>
        <w:rPr>
          <w:rFonts w:hint="eastAsia" w:ascii="仿宋_GB2312" w:eastAsia="仿宋_GB2312"/>
          <w:color w:val="auto"/>
          <w:spacing w:val="0"/>
          <w:sz w:val="32"/>
          <w:szCs w:val="32"/>
          <w:highlight w:val="none"/>
          <w:lang w:val="en-US" w:eastAsia="zh-CN"/>
        </w:rPr>
        <w:t>授予中小企业合同金额25.04万元，占政府采购支出总额的100%，其中：授予小微企业合同金额25.04万元，占政府采购支出总额的100.00%。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（三）国有资产占用情况说明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截止2021年12月31日，单位共有房屋27224.83（平方米），价值5,331.41万元。车辆9辆，价值314.82万元，其中：副部（省）级及以上领导用车0辆、主要领导干部用车0辆、机要通信用车0辆、应急保障用车0辆、执法执勤用车0辆、特种专业技术用车0辆、离退休干部用车0辆、其他用车9辆</w:t>
      </w:r>
      <w:r>
        <w:rPr>
          <w:rFonts w:hint="eastAsia" w:ascii="仿宋_GB2312" w:eastAsia="仿宋_GB2312"/>
          <w:color w:val="auto"/>
          <w:sz w:val="32"/>
          <w:szCs w:val="32"/>
          <w:highlight w:val="none"/>
        </w:rPr>
        <w:t>，其他用车主要是：</w:t>
      </w:r>
      <w:r>
        <w:rPr>
          <w:rFonts w:hint="eastAsia" w:ascii="仿宋_GB2312" w:eastAsia="仿宋_GB2312"/>
          <w:color w:val="auto"/>
          <w:sz w:val="32"/>
          <w:szCs w:val="32"/>
          <w:highlight w:val="none"/>
          <w:lang w:eastAsia="zh-CN"/>
        </w:rPr>
        <w:t>其中</w:t>
      </w:r>
      <w:r>
        <w:rPr>
          <w:rFonts w:hint="eastAsia" w:ascii="仿宋_GB2312" w:eastAsia="仿宋_GB2312"/>
          <w:color w:val="auto"/>
          <w:sz w:val="32"/>
          <w:szCs w:val="32"/>
          <w:highlight w:val="none"/>
          <w:lang w:val="en-US" w:eastAsia="zh-CN"/>
        </w:rPr>
        <w:t>8辆救护车、其中1辆接收医疗专家用；单位价值50万元以上通用设备4台（套）、单位价值100万元以上专用设备5台（套）。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bookmarkStart w:id="30" w:name="_Toc435"/>
      <w:bookmarkStart w:id="31" w:name="_Toc11283"/>
      <w:r>
        <w:rPr>
          <w:rFonts w:hint="eastAsia" w:ascii="黑体" w:hAnsi="黑体" w:eastAsia="黑体" w:cs="宋体"/>
          <w:bCs/>
          <w:kern w:val="0"/>
          <w:sz w:val="32"/>
          <w:szCs w:val="32"/>
          <w:highlight w:val="none"/>
          <w:lang w:eastAsia="zh-CN"/>
        </w:rPr>
        <w:t>十一</w:t>
      </w:r>
      <w:r>
        <w:rPr>
          <w:rFonts w:hint="eastAsia" w:ascii="黑体" w:hAnsi="黑体" w:eastAsia="黑体" w:cs="宋体"/>
          <w:bCs/>
          <w:color w:val="auto"/>
          <w:kern w:val="0"/>
          <w:sz w:val="32"/>
          <w:szCs w:val="32"/>
          <w:highlight w:val="none"/>
          <w:lang w:eastAsia="zh-CN"/>
        </w:rPr>
        <w:t>、预算绩效的情况说明</w:t>
      </w:r>
      <w:bookmarkEnd w:id="30"/>
      <w:bookmarkEnd w:id="31"/>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根据预算绩效管理要求，我单位</w:t>
      </w:r>
      <w:r>
        <w:rPr>
          <w:rFonts w:hint="eastAsia" w:ascii="仿宋_GB2312" w:eastAsia="仿宋_GB2312"/>
          <w:color w:val="auto"/>
          <w:sz w:val="32"/>
          <w:szCs w:val="32"/>
          <w:highlight w:val="none"/>
          <w:lang w:val="en-US" w:eastAsia="zh-CN"/>
        </w:rPr>
        <w:t>2021</w:t>
      </w:r>
      <w:r>
        <w:rPr>
          <w:rFonts w:hint="eastAsia" w:ascii="仿宋_GB2312" w:eastAsia="仿宋_GB2312"/>
          <w:color w:val="auto"/>
          <w:sz w:val="32"/>
          <w:szCs w:val="32"/>
          <w:highlight w:val="none"/>
          <w:lang w:eastAsia="zh-CN"/>
        </w:rPr>
        <w:t>年度开展预算绩效评价项目</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lang w:eastAsia="zh-CN"/>
        </w:rPr>
        <w:t>个，共涉及资金</w:t>
      </w:r>
      <w:r>
        <w:rPr>
          <w:rFonts w:hint="eastAsia" w:ascii="仿宋_GB2312" w:eastAsia="仿宋_GB2312"/>
          <w:color w:val="auto"/>
          <w:sz w:val="32"/>
          <w:szCs w:val="32"/>
          <w:highlight w:val="none"/>
          <w:lang w:val="en-US" w:eastAsia="zh-CN"/>
        </w:rPr>
        <w:t>450.91</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color w:val="auto"/>
          <w:sz w:val="32"/>
          <w:szCs w:val="32"/>
          <w:highlight w:val="none"/>
          <w:lang w:val="en-US" w:eastAsia="zh-CN"/>
        </w:rPr>
        <w:t>一是从这次的绩效自评结果看，我院项目实施情况整体良好，各科室工作积极主动；二是使资金发挥了其应有的经济及社会效益</w:t>
      </w:r>
      <w:r>
        <w:rPr>
          <w:rFonts w:hint="eastAsia" w:ascii="仿宋_GB2312" w:eastAsia="仿宋_GB2312"/>
          <w:color w:val="auto"/>
          <w:sz w:val="32"/>
          <w:szCs w:val="32"/>
          <w:highlight w:val="none"/>
          <w:lang w:eastAsia="zh-CN"/>
        </w:rPr>
        <w:t>。发现的问题及原因：</w:t>
      </w:r>
      <w:r>
        <w:rPr>
          <w:rFonts w:hint="eastAsia" w:ascii="仿宋_GB2312" w:eastAsia="仿宋_GB2312"/>
          <w:color w:val="auto"/>
          <w:sz w:val="32"/>
          <w:szCs w:val="32"/>
          <w:highlight w:val="none"/>
          <w:lang w:val="en-US" w:eastAsia="zh-CN"/>
        </w:rPr>
        <w:t>一是项目资金预算不足，无法解决设备简陋的问题，制约了医院的发展；二是预算执行完成后的绩效管理还有待完善和加强</w:t>
      </w:r>
      <w:r>
        <w:rPr>
          <w:rFonts w:hint="eastAsia" w:ascii="仿宋_GB2312" w:eastAsia="仿宋_GB2312"/>
          <w:color w:val="auto"/>
          <w:sz w:val="32"/>
          <w:szCs w:val="32"/>
          <w:highlight w:val="none"/>
          <w:lang w:eastAsia="zh-CN"/>
        </w:rPr>
        <w:t>。下一步改进措施：</w:t>
      </w:r>
      <w:r>
        <w:rPr>
          <w:rFonts w:hint="eastAsia" w:ascii="仿宋_GB2312" w:eastAsia="仿宋_GB2312"/>
          <w:color w:val="auto"/>
          <w:sz w:val="32"/>
          <w:szCs w:val="32"/>
          <w:highlight w:val="none"/>
          <w:lang w:val="en-US" w:eastAsia="zh-CN"/>
        </w:rPr>
        <w:t>一是要进一步推进医疗卫生机构的综合改革，优化人员结构和分配制度，持续提升服务质量与水平；二是继续加大对医疗卫生机构的经费投入，不断改善医疗卫生服务环境。具体项目自评情况附项目支出绩效自评表</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项目自评情况附项目支出绩效自评表。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sz w:val="32"/>
          <w:szCs w:val="32"/>
          <w:highlight w:val="none"/>
        </w:rPr>
      </w:pPr>
      <w:bookmarkStart w:id="32" w:name="_Toc3250"/>
      <w:bookmarkStart w:id="33" w:name="_Toc24143"/>
      <w:bookmarkStart w:id="34" w:name="_Toc22784"/>
      <w:bookmarkStart w:id="35" w:name="_Toc28903"/>
      <w:r>
        <w:rPr>
          <w:rFonts w:hint="eastAsia" w:ascii="黑体" w:hAnsi="黑体" w:eastAsia="黑体"/>
          <w:sz w:val="32"/>
          <w:szCs w:val="32"/>
          <w:highlight w:val="none"/>
        </w:rPr>
        <w:t>第三部分 专业名词解释</w:t>
      </w:r>
      <w:bookmarkEnd w:id="32"/>
      <w:bookmarkEnd w:id="33"/>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财政拨款收入：指同级财政当年拨付的资金。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上级补助收入：指事业单位从主管部门和上级单位取得的非财政补助收入。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事业收入：指事业单位开展专业业务活动及其辅助活动所取得的收入。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附属单位上缴收入：指事业单位附属的独立核算单位按有关规定上缴的收入。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其他收入：指除上述“财政拨款收入”、“事业收入”、“经营收入”、“附属单位上缴收入”等之外取得的收入。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lang w:eastAsia="zh-CN"/>
        </w:rPr>
        <w:t>年初</w:t>
      </w:r>
      <w:r>
        <w:rPr>
          <w:rFonts w:hint="eastAsia" w:ascii="仿宋_GB2312" w:eastAsia="仿宋_GB2312"/>
          <w:sz w:val="32"/>
          <w:szCs w:val="32"/>
          <w:highlight w:val="none"/>
        </w:rPr>
        <w:t>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基本支出：指为保障机构正常运转、完成日常工作任务而发生的人员支出和公用支出。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项目支出：指在基本支出之外为完成特定行政任务和事业发展目标所发生的支出。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对附属单位补助支出：指事业单位发生的用非财政预算资金对附属单位的补助支出。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0" w:firstLineChars="200"/>
        <w:textAlignment w:val="auto"/>
        <w:rPr>
          <w:rFonts w:hint="eastAsia" w:ascii="仿宋_GB2312" w:eastAsia="仿宋_GB2312"/>
          <w:sz w:val="32"/>
          <w:szCs w:val="32"/>
          <w:highlight w:val="none"/>
          <w:lang w:eastAsia="zh-CN"/>
        </w:rPr>
      </w:pPr>
      <w:r>
        <w:rPr>
          <w:rFonts w:hint="eastAsia" w:ascii="仿宋_GB2312" w:eastAsia="仿宋_GB2312"/>
          <w:sz w:val="32"/>
          <w:szCs w:val="32"/>
          <w:highlight w:val="none"/>
        </w:rPr>
        <w:t>“三公”经费：指用一般公共预算财政拨款安排的因公出国（境）费、公务用车购置及运行费和公务接待费。其中，因公出国（境）费反映单位公务出国（境）的</w:t>
      </w:r>
      <w:r>
        <w:rPr>
          <w:rFonts w:hint="eastAsia" w:ascii="仿宋_GB2312" w:eastAsia="仿宋_GB2312"/>
          <w:sz w:val="32"/>
          <w:szCs w:val="32"/>
          <w:highlight w:val="none"/>
          <w:lang w:eastAsia="zh-CN"/>
        </w:rPr>
        <w:t>国际旅费、国外城市间交通费、</w:t>
      </w:r>
      <w:r>
        <w:rPr>
          <w:rFonts w:hint="eastAsia" w:ascii="仿宋_GB2312" w:eastAsia="仿宋_GB2312"/>
          <w:sz w:val="32"/>
          <w:szCs w:val="32"/>
          <w:highlight w:val="none"/>
        </w:rPr>
        <w:t>住宿费、伙食费、培训费、</w:t>
      </w:r>
      <w:r>
        <w:rPr>
          <w:rFonts w:hint="eastAsia" w:ascii="仿宋_GB2312" w:eastAsia="仿宋_GB2312"/>
          <w:sz w:val="32"/>
          <w:szCs w:val="32"/>
          <w:highlight w:val="none"/>
          <w:lang w:eastAsia="zh-CN"/>
        </w:rPr>
        <w:t>公</w:t>
      </w:r>
      <w:r>
        <w:rPr>
          <w:rFonts w:hint="eastAsia" w:ascii="仿宋_GB2312" w:eastAsia="仿宋_GB2312"/>
          <w:sz w:val="32"/>
          <w:szCs w:val="32"/>
          <w:highlight w:val="none"/>
        </w:rPr>
        <w:t>杂费等支出；公务用车购置费</w:t>
      </w:r>
      <w:r>
        <w:rPr>
          <w:rFonts w:hint="eastAsia" w:ascii="仿宋_GB2312" w:eastAsia="仿宋_GB2312"/>
          <w:sz w:val="32"/>
          <w:szCs w:val="32"/>
          <w:highlight w:val="none"/>
          <w:lang w:eastAsia="zh-CN"/>
        </w:rPr>
        <w:t>反映公务用车购置支出（含车辆购置税、牌照费）；</w:t>
      </w:r>
      <w:r>
        <w:rPr>
          <w:rFonts w:hint="eastAsia" w:ascii="仿宋_GB2312" w:eastAsia="仿宋_GB2312"/>
          <w:sz w:val="32"/>
          <w:szCs w:val="32"/>
          <w:highlight w:val="none"/>
        </w:rPr>
        <w:t>公务用车运行</w:t>
      </w:r>
      <w:r>
        <w:rPr>
          <w:rFonts w:hint="eastAsia" w:ascii="仿宋_GB2312" w:eastAsia="仿宋_GB2312"/>
          <w:sz w:val="32"/>
          <w:szCs w:val="32"/>
          <w:highlight w:val="none"/>
          <w:lang w:eastAsia="zh-CN"/>
        </w:rPr>
        <w:t>维护</w:t>
      </w:r>
      <w:r>
        <w:rPr>
          <w:rFonts w:hint="eastAsia" w:ascii="仿宋_GB2312" w:eastAsia="仿宋_GB2312"/>
          <w:sz w:val="32"/>
          <w:szCs w:val="32"/>
          <w:highlight w:val="none"/>
        </w:rPr>
        <w:t>费反映</w:t>
      </w:r>
      <w:r>
        <w:rPr>
          <w:rFonts w:hint="eastAsia" w:ascii="仿宋_GB2312" w:eastAsia="仿宋_GB2312"/>
          <w:sz w:val="32"/>
          <w:szCs w:val="32"/>
          <w:highlight w:val="none"/>
          <w:lang w:eastAsia="zh-CN"/>
        </w:rPr>
        <w:t>单位按规定保留的公务用车燃料费、维修费、</w:t>
      </w:r>
      <w:r>
        <w:rPr>
          <w:rFonts w:hint="eastAsia" w:ascii="仿宋_GB2312" w:eastAsia="仿宋_GB2312"/>
          <w:sz w:val="32"/>
          <w:szCs w:val="32"/>
          <w:highlight w:val="none"/>
        </w:rPr>
        <w:t>过路过桥费、保险费、安全奖励费用等支出</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公务接待费反映单位按规定开支的各类公务接待（含外宾接待）</w:t>
      </w:r>
      <w:r>
        <w:rPr>
          <w:rFonts w:hint="eastAsia" w:ascii="仿宋_GB2312" w:eastAsia="仿宋_GB2312"/>
          <w:sz w:val="32"/>
          <w:szCs w:val="32"/>
          <w:highlight w:val="none"/>
          <w:lang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bidi w:val="0"/>
        <w:adjustRightInd/>
        <w:snapToGrid/>
        <w:spacing w:line="240" w:lineRule="auto"/>
        <w:jc w:val="both"/>
        <w:textAlignment w:val="auto"/>
        <w:rPr>
          <w:rFonts w:hint="eastAsia" w:ascii="仿宋_GB2312" w:eastAsia="仿宋_GB2312"/>
          <w:sz w:val="32"/>
          <w:szCs w:val="32"/>
          <w:highlight w:val="none"/>
        </w:rPr>
      </w:pPr>
      <w:r>
        <w:rPr>
          <w:rFonts w:hint="eastAsia" w:ascii="仿宋_GB2312" w:eastAsia="仿宋_GB2312"/>
          <w:color w:val="auto"/>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第四部分 部门决算报表（见附表）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6" w:name="_Toc6062"/>
      <w:bookmarkStart w:id="37" w:name="_Toc2183"/>
      <w:r>
        <w:rPr>
          <w:rFonts w:hint="eastAsia" w:ascii="黑体" w:hAnsi="黑体" w:eastAsia="黑体" w:cs="宋体"/>
          <w:bCs/>
          <w:kern w:val="0"/>
          <w:sz w:val="32"/>
          <w:szCs w:val="32"/>
          <w:highlight w:val="none"/>
        </w:rPr>
        <w:t>一、《收入支出决算总表》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38" w:name="_Toc24532"/>
      <w:bookmarkStart w:id="39" w:name="_Toc30364"/>
      <w:r>
        <w:rPr>
          <w:rFonts w:hint="eastAsia" w:ascii="黑体" w:hAnsi="黑体" w:eastAsia="黑体" w:cs="宋体"/>
          <w:bCs/>
          <w:kern w:val="0"/>
          <w:sz w:val="32"/>
          <w:szCs w:val="32"/>
          <w:highlight w:val="none"/>
        </w:rPr>
        <w:t>二、《收入决算表》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0" w:name="_Toc21304"/>
      <w:bookmarkStart w:id="41" w:name="_Toc32434"/>
      <w:r>
        <w:rPr>
          <w:rFonts w:hint="eastAsia" w:ascii="黑体" w:hAnsi="黑体" w:eastAsia="黑体" w:cs="宋体"/>
          <w:bCs/>
          <w:kern w:val="0"/>
          <w:sz w:val="32"/>
          <w:szCs w:val="32"/>
          <w:highlight w:val="none"/>
        </w:rPr>
        <w:t>三、《支出决算表》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2" w:name="_Toc28786"/>
      <w:bookmarkStart w:id="43" w:name="_Toc14238"/>
      <w:r>
        <w:rPr>
          <w:rFonts w:hint="eastAsia" w:ascii="黑体" w:hAnsi="黑体" w:eastAsia="黑体" w:cs="宋体"/>
          <w:bCs/>
          <w:kern w:val="0"/>
          <w:sz w:val="32"/>
          <w:szCs w:val="32"/>
          <w:highlight w:val="none"/>
        </w:rPr>
        <w:t>四、《财政拨款收入支出决算总表》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4" w:name="_Toc10347"/>
      <w:bookmarkStart w:id="45" w:name="_Toc14869"/>
      <w:r>
        <w:rPr>
          <w:rFonts w:hint="eastAsia" w:ascii="黑体" w:hAnsi="黑体" w:eastAsia="黑体" w:cs="宋体"/>
          <w:bCs/>
          <w:kern w:val="0"/>
          <w:sz w:val="32"/>
          <w:szCs w:val="32"/>
          <w:highlight w:val="none"/>
        </w:rPr>
        <w:t>五、《一般公共预算财政拨款支出决算表》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6" w:name="_Toc8884"/>
      <w:bookmarkStart w:id="47" w:name="_Toc5626"/>
      <w:r>
        <w:rPr>
          <w:rFonts w:hint="eastAsia" w:ascii="黑体" w:hAnsi="黑体" w:eastAsia="黑体" w:cs="宋体"/>
          <w:bCs/>
          <w:kern w:val="0"/>
          <w:sz w:val="32"/>
          <w:szCs w:val="32"/>
          <w:highlight w:val="none"/>
        </w:rPr>
        <w:t>六、《一般公共预算财政拨款基本支出决算表》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48" w:name="_Toc32663"/>
      <w:bookmarkStart w:id="49" w:name="_Toc29106"/>
      <w:r>
        <w:rPr>
          <w:rFonts w:hint="eastAsia" w:ascii="黑体" w:hAnsi="黑体" w:eastAsia="黑体" w:cs="宋体"/>
          <w:bCs/>
          <w:kern w:val="0"/>
          <w:sz w:val="32"/>
          <w:szCs w:val="32"/>
          <w:highlight w:val="none"/>
        </w:rPr>
        <w:t>七、《一般公共预算财政拨款“三公”经费支出决算表》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kern w:val="0"/>
          <w:sz w:val="32"/>
          <w:szCs w:val="32"/>
          <w:highlight w:val="none"/>
        </w:rPr>
      </w:pPr>
      <w:bookmarkStart w:id="50" w:name="_Toc7643"/>
      <w:bookmarkStart w:id="51" w:name="_Toc5453"/>
      <w:r>
        <w:rPr>
          <w:rFonts w:hint="eastAsia" w:ascii="黑体" w:hAnsi="黑体" w:eastAsia="黑体" w:cs="宋体"/>
          <w:bCs/>
          <w:kern w:val="0"/>
          <w:sz w:val="32"/>
          <w:szCs w:val="32"/>
          <w:highlight w:val="none"/>
        </w:rPr>
        <w:t>八、《政府性基金预算财政拨款收入支出决算表》</w:t>
      </w:r>
      <w:bookmarkEnd w:id="50"/>
      <w:bookmarkEnd w:id="5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kern w:val="0"/>
          <w:sz w:val="32"/>
          <w:szCs w:val="32"/>
          <w:highlight w:val="none"/>
          <w:lang w:eastAsia="zh-CN"/>
        </w:rPr>
        <w:t>九</w:t>
      </w:r>
      <w:r>
        <w:rPr>
          <w:rFonts w:hint="eastAsia" w:ascii="黑体" w:hAnsi="黑体" w:eastAsia="黑体" w:cs="宋体"/>
          <w:bCs/>
          <w:kern w:val="0"/>
          <w:sz w:val="32"/>
          <w:szCs w:val="32"/>
          <w:highlight w:val="none"/>
        </w:rPr>
        <w:t>、《</w:t>
      </w:r>
      <w:r>
        <w:rPr>
          <w:rFonts w:hint="eastAsia" w:ascii="黑体" w:hAnsi="黑体" w:eastAsia="黑体" w:cs="宋体"/>
          <w:bCs/>
          <w:kern w:val="0"/>
          <w:sz w:val="32"/>
          <w:szCs w:val="32"/>
          <w:highlight w:val="none"/>
          <w:lang w:eastAsia="zh-CN"/>
        </w:rPr>
        <w:t>国有资本经营</w:t>
      </w:r>
      <w:r>
        <w:rPr>
          <w:rFonts w:hint="eastAsia" w:ascii="黑体" w:hAnsi="黑体" w:eastAsia="黑体" w:cs="宋体"/>
          <w:bCs/>
          <w:kern w:val="0"/>
          <w:sz w:val="32"/>
          <w:szCs w:val="32"/>
          <w:highlight w:val="none"/>
        </w:rPr>
        <w:t>预算财政拨款收入支出决算表》</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s1fnL0BAABiAwAADgAAAGRycy9lMm9Eb2MueG1srVPNjtMwEL4j8Q6W&#10;79RpD6iKmq4WrRYhIUBaeADXsRtLsccau03KA8AbcOLCnefqczB2ky4/N7QXZzwz/ub7Ziabm9H1&#10;7KgxWvANXy4qzrRX0Fq/b/inj/cv1pzFJH0re/C64Scd+c32+bPNEGq9gg76ViMjEB/rITS8SynU&#10;QkTVaSfjAoL2FDSATia64l60KAdCd71YVdVLMQC2AUHpGMl7dwnybcE3Rqv03pioE+sbTtxSObGc&#10;u3yK7UbWe5Shs2qiIf+DhZPWU9Er1J1Mkh3Q/gPlrEKIYNJCgRNgjFW6aCA1y+ovNQ+dDLpooebE&#10;cG1TfDpY9e74AZltaXaceeloROdvX8/ff55/fGHL3J4hxJqyHgLlpfEVjDl18kdyZtWjQZe/pIdR&#10;nBp9ujZXj4mp/Gi9Wq8rCimKzRfCEY/PA8b0WoNj2Wg40vRKU+XxbUyX1DklV/Nwb/ue/LLu/R8O&#10;wswekblfOGYrjbtxIr6D9kR6aHGpTgf4mbOBlqDhnraUs/6Npx7nfZkNnI3dbEiv6GHDE2eHgHbf&#10;ld3KNGK4PSTiVijnwpdqEx8aZBE9LV3elN/vJevx19j+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AmzV+cvQEAAGIDAAAOAAAAAAAAAAEAIAAAAB4BAABkcnMvZTJvRG9jLnhtbFBLBQYAAAAA&#10;BgAGAFkBAABN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4NjZkYTQ0N2YxYTJlNGI2NWRkYWNiY2RhNzQ0OTUifQ=="/>
  </w:docVars>
  <w:rsids>
    <w:rsidRoot w:val="00000000"/>
    <w:rsid w:val="0131169A"/>
    <w:rsid w:val="01734C27"/>
    <w:rsid w:val="01981D96"/>
    <w:rsid w:val="01DD6073"/>
    <w:rsid w:val="02014C29"/>
    <w:rsid w:val="02890C73"/>
    <w:rsid w:val="03A231F6"/>
    <w:rsid w:val="04044ED1"/>
    <w:rsid w:val="041C5E18"/>
    <w:rsid w:val="04AA63C1"/>
    <w:rsid w:val="04EE377F"/>
    <w:rsid w:val="051C631E"/>
    <w:rsid w:val="0562142B"/>
    <w:rsid w:val="06792773"/>
    <w:rsid w:val="074F280E"/>
    <w:rsid w:val="075B1482"/>
    <w:rsid w:val="075F768F"/>
    <w:rsid w:val="07BA7C7F"/>
    <w:rsid w:val="07C3443C"/>
    <w:rsid w:val="08476613"/>
    <w:rsid w:val="084876D1"/>
    <w:rsid w:val="08792A38"/>
    <w:rsid w:val="09026D66"/>
    <w:rsid w:val="090B11F4"/>
    <w:rsid w:val="0A2E4EB6"/>
    <w:rsid w:val="0A611FB0"/>
    <w:rsid w:val="0A6D05E4"/>
    <w:rsid w:val="0AC520F0"/>
    <w:rsid w:val="0B21162A"/>
    <w:rsid w:val="0B557DD5"/>
    <w:rsid w:val="0BED1442"/>
    <w:rsid w:val="0C595DFB"/>
    <w:rsid w:val="0C7A5D15"/>
    <w:rsid w:val="0CD00AF9"/>
    <w:rsid w:val="0CFEBB4E"/>
    <w:rsid w:val="0D0A4F7E"/>
    <w:rsid w:val="0D0B27DC"/>
    <w:rsid w:val="0D7C3599"/>
    <w:rsid w:val="0E003458"/>
    <w:rsid w:val="0E1F036C"/>
    <w:rsid w:val="0E3E2F88"/>
    <w:rsid w:val="0EB33F18"/>
    <w:rsid w:val="0F1410FB"/>
    <w:rsid w:val="0F923480"/>
    <w:rsid w:val="1056158D"/>
    <w:rsid w:val="10F929CB"/>
    <w:rsid w:val="10FF31A4"/>
    <w:rsid w:val="1142269D"/>
    <w:rsid w:val="11450985"/>
    <w:rsid w:val="11CA45A9"/>
    <w:rsid w:val="11E8712A"/>
    <w:rsid w:val="11FE3AAA"/>
    <w:rsid w:val="122451E5"/>
    <w:rsid w:val="126B62A8"/>
    <w:rsid w:val="12951F13"/>
    <w:rsid w:val="12B1037D"/>
    <w:rsid w:val="12CC4CD9"/>
    <w:rsid w:val="13326CE6"/>
    <w:rsid w:val="13B42BBB"/>
    <w:rsid w:val="14284AED"/>
    <w:rsid w:val="154A0915"/>
    <w:rsid w:val="15CF1AC0"/>
    <w:rsid w:val="17083B88"/>
    <w:rsid w:val="1742163F"/>
    <w:rsid w:val="176E53C3"/>
    <w:rsid w:val="1805797E"/>
    <w:rsid w:val="18124080"/>
    <w:rsid w:val="182E453B"/>
    <w:rsid w:val="189A656F"/>
    <w:rsid w:val="198202DA"/>
    <w:rsid w:val="19AF7A44"/>
    <w:rsid w:val="1A6109EF"/>
    <w:rsid w:val="1B424E9E"/>
    <w:rsid w:val="1BB07761"/>
    <w:rsid w:val="1C2A54A9"/>
    <w:rsid w:val="1C3737FD"/>
    <w:rsid w:val="1C88403A"/>
    <w:rsid w:val="1CB729A5"/>
    <w:rsid w:val="1CC56B97"/>
    <w:rsid w:val="1D34682A"/>
    <w:rsid w:val="1D4A73D5"/>
    <w:rsid w:val="1D9C2D67"/>
    <w:rsid w:val="1DAF458D"/>
    <w:rsid w:val="1DE34574"/>
    <w:rsid w:val="1F77716A"/>
    <w:rsid w:val="1F825A11"/>
    <w:rsid w:val="206034DD"/>
    <w:rsid w:val="20DF6845"/>
    <w:rsid w:val="233B4784"/>
    <w:rsid w:val="233E5923"/>
    <w:rsid w:val="236A6149"/>
    <w:rsid w:val="23B146B9"/>
    <w:rsid w:val="240038BA"/>
    <w:rsid w:val="240A65B7"/>
    <w:rsid w:val="263D5951"/>
    <w:rsid w:val="265E582C"/>
    <w:rsid w:val="26E147D1"/>
    <w:rsid w:val="27004B43"/>
    <w:rsid w:val="27B248A0"/>
    <w:rsid w:val="283F1644"/>
    <w:rsid w:val="287C6FB4"/>
    <w:rsid w:val="28B4796C"/>
    <w:rsid w:val="29770D57"/>
    <w:rsid w:val="29A000F0"/>
    <w:rsid w:val="29D21E13"/>
    <w:rsid w:val="2A053397"/>
    <w:rsid w:val="2AB554B8"/>
    <w:rsid w:val="2B0377CD"/>
    <w:rsid w:val="2B6B66AA"/>
    <w:rsid w:val="2BFE2EF0"/>
    <w:rsid w:val="2C1E18A5"/>
    <w:rsid w:val="2C604703"/>
    <w:rsid w:val="2D1136DF"/>
    <w:rsid w:val="2D2B5CBF"/>
    <w:rsid w:val="2D8C755C"/>
    <w:rsid w:val="2DA02D04"/>
    <w:rsid w:val="2DFD193C"/>
    <w:rsid w:val="2E9F6859"/>
    <w:rsid w:val="2EC544A9"/>
    <w:rsid w:val="2F0C26B1"/>
    <w:rsid w:val="2F116303"/>
    <w:rsid w:val="2FC614E6"/>
    <w:rsid w:val="30236790"/>
    <w:rsid w:val="30802486"/>
    <w:rsid w:val="31175173"/>
    <w:rsid w:val="314D12BC"/>
    <w:rsid w:val="316F250C"/>
    <w:rsid w:val="31BD13AC"/>
    <w:rsid w:val="31C63837"/>
    <w:rsid w:val="32082F98"/>
    <w:rsid w:val="32A6143E"/>
    <w:rsid w:val="336D09C0"/>
    <w:rsid w:val="354A37A9"/>
    <w:rsid w:val="36273CF4"/>
    <w:rsid w:val="36827C07"/>
    <w:rsid w:val="36AA5F52"/>
    <w:rsid w:val="36C058A7"/>
    <w:rsid w:val="36E000FD"/>
    <w:rsid w:val="374146AF"/>
    <w:rsid w:val="37D36EBD"/>
    <w:rsid w:val="399731E4"/>
    <w:rsid w:val="3ADE39A4"/>
    <w:rsid w:val="3AFB1A4C"/>
    <w:rsid w:val="3B610B0E"/>
    <w:rsid w:val="3BF672B3"/>
    <w:rsid w:val="3BF67B6E"/>
    <w:rsid w:val="3C132F7E"/>
    <w:rsid w:val="3C530331"/>
    <w:rsid w:val="3CBB22B3"/>
    <w:rsid w:val="3CC7093B"/>
    <w:rsid w:val="3CC80DC0"/>
    <w:rsid w:val="3D1309DF"/>
    <w:rsid w:val="3D217D96"/>
    <w:rsid w:val="3D5275AC"/>
    <w:rsid w:val="3DED65A8"/>
    <w:rsid w:val="3DFE4E4B"/>
    <w:rsid w:val="3E160417"/>
    <w:rsid w:val="3E4F50AC"/>
    <w:rsid w:val="40161B73"/>
    <w:rsid w:val="4079165E"/>
    <w:rsid w:val="41AD1AA2"/>
    <w:rsid w:val="41B20E4F"/>
    <w:rsid w:val="41D31F00"/>
    <w:rsid w:val="42B76840"/>
    <w:rsid w:val="43316970"/>
    <w:rsid w:val="4421165A"/>
    <w:rsid w:val="44467526"/>
    <w:rsid w:val="44CF4655"/>
    <w:rsid w:val="45A87853"/>
    <w:rsid w:val="45AD0B65"/>
    <w:rsid w:val="46901EEE"/>
    <w:rsid w:val="469C74D2"/>
    <w:rsid w:val="46DC1114"/>
    <w:rsid w:val="46FA6D28"/>
    <w:rsid w:val="473F39FE"/>
    <w:rsid w:val="476D2E32"/>
    <w:rsid w:val="47801D21"/>
    <w:rsid w:val="47FF5A3B"/>
    <w:rsid w:val="48F9688C"/>
    <w:rsid w:val="490B0284"/>
    <w:rsid w:val="492D17D3"/>
    <w:rsid w:val="493A3870"/>
    <w:rsid w:val="4A1207ED"/>
    <w:rsid w:val="4A9D77CC"/>
    <w:rsid w:val="4AF5079B"/>
    <w:rsid w:val="4B345CA5"/>
    <w:rsid w:val="4B701753"/>
    <w:rsid w:val="4BEB2AE8"/>
    <w:rsid w:val="4C181618"/>
    <w:rsid w:val="4C6D3066"/>
    <w:rsid w:val="4CB3745D"/>
    <w:rsid w:val="4D391693"/>
    <w:rsid w:val="4DA93660"/>
    <w:rsid w:val="4DD406E5"/>
    <w:rsid w:val="4DF31F55"/>
    <w:rsid w:val="4E535897"/>
    <w:rsid w:val="4F195BC9"/>
    <w:rsid w:val="4F714843"/>
    <w:rsid w:val="4FCE528B"/>
    <w:rsid w:val="5004002B"/>
    <w:rsid w:val="500A528D"/>
    <w:rsid w:val="50D87915"/>
    <w:rsid w:val="50DB5F45"/>
    <w:rsid w:val="510B4945"/>
    <w:rsid w:val="511D7E14"/>
    <w:rsid w:val="51554269"/>
    <w:rsid w:val="516A2E8A"/>
    <w:rsid w:val="517134A1"/>
    <w:rsid w:val="51BB37A4"/>
    <w:rsid w:val="52163B23"/>
    <w:rsid w:val="523D322D"/>
    <w:rsid w:val="52C01CAC"/>
    <w:rsid w:val="530335BC"/>
    <w:rsid w:val="535F2703"/>
    <w:rsid w:val="549741F3"/>
    <w:rsid w:val="56146D24"/>
    <w:rsid w:val="56547F9B"/>
    <w:rsid w:val="568D63A8"/>
    <w:rsid w:val="569D71D3"/>
    <w:rsid w:val="570E289D"/>
    <w:rsid w:val="57211AEC"/>
    <w:rsid w:val="57AF4592"/>
    <w:rsid w:val="5813797A"/>
    <w:rsid w:val="58344842"/>
    <w:rsid w:val="584E7561"/>
    <w:rsid w:val="588E1D40"/>
    <w:rsid w:val="58E4063C"/>
    <w:rsid w:val="58F356A0"/>
    <w:rsid w:val="58FB4926"/>
    <w:rsid w:val="5A8C5C64"/>
    <w:rsid w:val="5B0A3C7C"/>
    <w:rsid w:val="5C145D5F"/>
    <w:rsid w:val="5C8850C2"/>
    <w:rsid w:val="5DE43C4B"/>
    <w:rsid w:val="5E256662"/>
    <w:rsid w:val="5E8D0FF0"/>
    <w:rsid w:val="5EA92E5B"/>
    <w:rsid w:val="5F312B5A"/>
    <w:rsid w:val="5F3A544C"/>
    <w:rsid w:val="5F421F4F"/>
    <w:rsid w:val="5F932967"/>
    <w:rsid w:val="600C4334"/>
    <w:rsid w:val="607C007C"/>
    <w:rsid w:val="60EE637C"/>
    <w:rsid w:val="610F4386"/>
    <w:rsid w:val="610F76A0"/>
    <w:rsid w:val="613B2291"/>
    <w:rsid w:val="616F6C82"/>
    <w:rsid w:val="61C23CA5"/>
    <w:rsid w:val="625B5AF2"/>
    <w:rsid w:val="62A91F52"/>
    <w:rsid w:val="62B07C56"/>
    <w:rsid w:val="64350E40"/>
    <w:rsid w:val="64766BFD"/>
    <w:rsid w:val="647D0508"/>
    <w:rsid w:val="6537230D"/>
    <w:rsid w:val="656325C7"/>
    <w:rsid w:val="65BF2B26"/>
    <w:rsid w:val="65CF3090"/>
    <w:rsid w:val="65D57A52"/>
    <w:rsid w:val="668019BE"/>
    <w:rsid w:val="668147BE"/>
    <w:rsid w:val="66A71241"/>
    <w:rsid w:val="66F90B14"/>
    <w:rsid w:val="674212A6"/>
    <w:rsid w:val="67CB7D39"/>
    <w:rsid w:val="69316E1A"/>
    <w:rsid w:val="69554902"/>
    <w:rsid w:val="69A94B4A"/>
    <w:rsid w:val="69AD798C"/>
    <w:rsid w:val="69C70FA3"/>
    <w:rsid w:val="69E5430E"/>
    <w:rsid w:val="6A197EE3"/>
    <w:rsid w:val="6A4F6540"/>
    <w:rsid w:val="6A733F65"/>
    <w:rsid w:val="6AAD748A"/>
    <w:rsid w:val="6B4F02DD"/>
    <w:rsid w:val="6B68175F"/>
    <w:rsid w:val="6B8E27EF"/>
    <w:rsid w:val="6C360AF8"/>
    <w:rsid w:val="6C6B3009"/>
    <w:rsid w:val="6C6B3214"/>
    <w:rsid w:val="6C747BB9"/>
    <w:rsid w:val="6D3D14C4"/>
    <w:rsid w:val="6DF26FFC"/>
    <w:rsid w:val="6E094282"/>
    <w:rsid w:val="6ED34999"/>
    <w:rsid w:val="6F29157B"/>
    <w:rsid w:val="6F531BF4"/>
    <w:rsid w:val="700F486D"/>
    <w:rsid w:val="701074C0"/>
    <w:rsid w:val="707F51EF"/>
    <w:rsid w:val="71833EC6"/>
    <w:rsid w:val="718D4E0D"/>
    <w:rsid w:val="71AE7AA3"/>
    <w:rsid w:val="71CA2249"/>
    <w:rsid w:val="721C1DE8"/>
    <w:rsid w:val="721E4A5D"/>
    <w:rsid w:val="72EE56CB"/>
    <w:rsid w:val="73406D5B"/>
    <w:rsid w:val="738E33C3"/>
    <w:rsid w:val="73DB6533"/>
    <w:rsid w:val="73FB6630"/>
    <w:rsid w:val="750B5BF1"/>
    <w:rsid w:val="75B51FC0"/>
    <w:rsid w:val="75B60031"/>
    <w:rsid w:val="75E13CF3"/>
    <w:rsid w:val="76DD091D"/>
    <w:rsid w:val="77466E92"/>
    <w:rsid w:val="774B26E2"/>
    <w:rsid w:val="77720CA8"/>
    <w:rsid w:val="77ED6F44"/>
    <w:rsid w:val="78224413"/>
    <w:rsid w:val="78FD1F20"/>
    <w:rsid w:val="79870A12"/>
    <w:rsid w:val="7A1C6325"/>
    <w:rsid w:val="7A7632AD"/>
    <w:rsid w:val="7AC8434A"/>
    <w:rsid w:val="7B3910B5"/>
    <w:rsid w:val="7B4C7884"/>
    <w:rsid w:val="7B902D83"/>
    <w:rsid w:val="7BAB7A6D"/>
    <w:rsid w:val="7D5B7B53"/>
    <w:rsid w:val="7D710817"/>
    <w:rsid w:val="7F8F3BEC"/>
    <w:rsid w:val="7FD64A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Chars="400"/>
    </w:pPr>
    <w:rPr>
      <w:rFonts w:ascii="Times New Roman" w:hAnsi="Times New Roman" w:eastAsia="宋体" w:cs="Times New Roman"/>
      <w:sz w:val="20"/>
      <w:szCs w:val="20"/>
    </w:rPr>
  </w:style>
  <w:style w:type="paragraph" w:customStyle="1" w:styleId="11">
    <w:name w:val="WPSOffice手动目录 2"/>
    <w:qFormat/>
    <w:uiPriority w:val="0"/>
    <w:pPr>
      <w:ind w:leftChars="200"/>
    </w:pPr>
    <w:rPr>
      <w:rFonts w:ascii="Times New Roman" w:hAnsi="Times New Roman" w:eastAsia="宋体" w:cs="Times New Roman"/>
      <w:sz w:val="20"/>
      <w:szCs w:val="20"/>
    </w:rPr>
  </w:style>
  <w:style w:type="paragraph" w:customStyle="1" w:styleId="12">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2130</Words>
  <Characters>2753</Characters>
  <Lines>0</Lines>
  <Paragraphs>0</Paragraphs>
  <TotalTime>0</TotalTime>
  <ScaleCrop>false</ScaleCrop>
  <LinksUpToDate>false</LinksUpToDate>
  <CharactersWithSpaces>2763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Administrator</cp:lastModifiedBy>
  <dcterms:modified xsi:type="dcterms:W3CDTF">2023-09-21T09:44:46Z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58240A701613457BB24A0FE0F01EE863</vt:lpwstr>
  </property>
</Properties>
</file>