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169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裕民县商工信局政府信息公开工作</w:t>
      </w:r>
    </w:p>
    <w:p w14:paraId="7D1F30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年度报告</w:t>
      </w:r>
    </w:p>
    <w:p w14:paraId="1FC9BD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56A32A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裕民县商工信局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严格按照《中华人民共和国政府信息公开条例》等有关要求，不断拓展公开内容、完善公开制度、强化公开监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督，扎实推进全局政务公开工作，现就202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年度政府信息公开工作年度报告汇报如下。报告统计期限为202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年1月1日至202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年12月31日。</w:t>
      </w:r>
    </w:p>
    <w:p w14:paraId="1E302C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78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1"/>
        <w:gridCol w:w="1963"/>
        <w:gridCol w:w="2097"/>
        <w:gridCol w:w="1860"/>
      </w:tblGrid>
      <w:tr w14:paraId="1567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536FAD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第二十条第（一）项</w:t>
            </w:r>
          </w:p>
        </w:tc>
      </w:tr>
      <w:tr w14:paraId="7FD0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245674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信息内容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1F1D7F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本年制发件数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67ACEC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本年废止件数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29D69E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现行有效件数</w:t>
            </w:r>
          </w:p>
        </w:tc>
      </w:tr>
      <w:tr w14:paraId="25D2A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50B478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规章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7D55F1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38B1D8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1147AF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464E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35231E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规范性文件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4571C7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28B9EA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5C55A2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747F9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8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382E3C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第二十条第（五）项</w:t>
            </w:r>
          </w:p>
        </w:tc>
      </w:tr>
      <w:tr w14:paraId="5BE7E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0E4D02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信息内容</w:t>
            </w:r>
          </w:p>
        </w:tc>
        <w:tc>
          <w:tcPr>
            <w:tcW w:w="59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6AAF99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本年处理决定数量</w:t>
            </w:r>
          </w:p>
        </w:tc>
      </w:tr>
      <w:tr w14:paraId="1EEC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376D70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</w:t>
            </w: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0A26D1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3F98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78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16C48F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第二十条第（六）项</w:t>
            </w:r>
          </w:p>
        </w:tc>
      </w:tr>
      <w:tr w14:paraId="02B7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7ECF46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信息内容</w:t>
            </w:r>
          </w:p>
        </w:tc>
        <w:tc>
          <w:tcPr>
            <w:tcW w:w="59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6E4A91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本年处理决定数量</w:t>
            </w:r>
          </w:p>
        </w:tc>
      </w:tr>
      <w:tr w14:paraId="646B5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1E8E95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行政处罚</w:t>
            </w: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52F571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4207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730D01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行政强制</w:t>
            </w: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6D8D9A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40D3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8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7D1A76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第二十条第（八）项</w:t>
            </w:r>
          </w:p>
        </w:tc>
      </w:tr>
      <w:tr w14:paraId="3DFE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1DB9EB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信息内容</w:t>
            </w:r>
          </w:p>
        </w:tc>
        <w:tc>
          <w:tcPr>
            <w:tcW w:w="59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3C1229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本年收费金额（单位：万元）</w:t>
            </w:r>
          </w:p>
        </w:tc>
      </w:tr>
      <w:tr w14:paraId="68FC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6B7C8C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行政事业性收费</w:t>
            </w: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top"/>
          </w:tcPr>
          <w:p w14:paraId="649AB3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</w:tbl>
    <w:p w14:paraId="397B54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84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225"/>
        <w:gridCol w:w="780"/>
        <w:gridCol w:w="781"/>
        <w:gridCol w:w="781"/>
        <w:gridCol w:w="781"/>
        <w:gridCol w:w="781"/>
        <w:gridCol w:w="781"/>
        <w:gridCol w:w="781"/>
        <w:gridCol w:w="781"/>
      </w:tblGrid>
      <w:tr w14:paraId="4269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30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6EDC2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46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C370B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申请人情况</w:t>
            </w:r>
          </w:p>
        </w:tc>
      </w:tr>
      <w:tr w14:paraId="5FED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32B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CBEFA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自然人</w:t>
            </w:r>
          </w:p>
        </w:tc>
        <w:tc>
          <w:tcPr>
            <w:tcW w:w="39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CA361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法人或其他组织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32B81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总计</w:t>
            </w:r>
          </w:p>
        </w:tc>
      </w:tr>
      <w:tr w14:paraId="7673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0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3166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451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DBEE6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商业企业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3A8F4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科研机构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8E1B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社会公益组织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09124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法律服务机构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FE3F3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C220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5F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00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E7F65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3EB62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C2D22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36E9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3B000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1D0C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46A78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57666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0E84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00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2AA87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2BD8B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EEACD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35833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2D01E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71598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EAFB8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B27A2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6AAB0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391E4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 w14:paraId="6A2004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 w14:paraId="101184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 w14:paraId="1F441F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 w14:paraId="6D9720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 w14:paraId="621588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 w14:paraId="644379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 w14:paraId="34787C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 w14:paraId="4D304C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 w14:paraId="31C3D7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 w14:paraId="5D8FC5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 w14:paraId="32C347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 w14:paraId="1B4545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三、本年度办理结果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C005A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（一）予以公开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40D1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FB01D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9C55F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35FE9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13896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11489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24628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4BB2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26D5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ABCED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5C2EA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F28F2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7BE00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2D1C6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2CF27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ED707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F0A9D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129A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E6EF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5C860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（三）不予公开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61E32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1.属于国家秘密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8ABDB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DF314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D0C5F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1A353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AD373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70F0C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652FB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67AD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F0BE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28C5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21649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2.其他法律行政法规禁止公开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B70FD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68892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0A92E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C6D3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B8709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58B03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E1EB8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641A5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175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B295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B3740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3.危及“三安全一稳定”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12FD9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EB7DC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908D8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C4755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EFC58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5591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AF96A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66DAB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12ED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0E58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71C85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4.保护第三方合法权益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7EB18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EF744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92C71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D63D4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CB5F1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3C7BB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67A8B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6DB8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6EBE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E8CB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907B9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5.属于三类内部事务信息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C470D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25E94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75185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55A6D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31CDB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A0647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9F10B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725DB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EE88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C125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E0489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6.属于四类过程性信息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D6F86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12E61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B6AA9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46D02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758D3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87495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EAA37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7B7F8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927F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29A3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0475C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7.属于行政执法案卷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5D197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04A74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F40FD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B8F80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FB3E7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98069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21152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6DB4B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71FF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4C96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28002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8.属于行政查询事项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D7F20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054BE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35D73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55911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68BBF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25439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C0FE1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6C28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07A9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51CF8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（四）无法提供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F05FB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1.本机关不掌握相关政府信息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7FF5B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26D9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3D3AB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2D219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A55DB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C8608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63DB4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35D03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7A89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FB01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3A8EB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2.没有现成信息需要另行制作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2761F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DB9CA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E9C2B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95D4A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05CA8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22B9A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47B01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21784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D71D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FCE5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C4A92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3.补正后申请内容仍不明确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D05A6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FD30B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B8A45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2F5DC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991CB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6B134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0975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2191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EEDA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19F45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（五）不予处理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2D61F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1.信访举报投诉类申请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B347C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04B23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BF089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36BB0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7206F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DCB29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1FBE3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5A6E2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1EC3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5EF1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5C439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2.重复申请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5A5DC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74E48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B772D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40DD2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95FBC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1F73A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306DA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42C1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B415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CAA2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29F88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3.要求提供公开出版物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98707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ED20A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AD5C3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78E5D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B0558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92F1D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B91A3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6EADB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36C5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2B94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C2159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4.无正当理由大量反复申请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B71A7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9E2CF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01D97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9AB05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6DBFD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7841D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D184E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64B4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CB80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A82C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4F01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82BC7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ADB76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A32F9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EC64E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B7FB6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F07E6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6EE47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129B8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CB0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C7FEA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（六）其他处理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D01D1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89C83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A3BB6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3A0D3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1FEE3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E13EC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7ED0A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8F0D0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7CC1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E0DF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60B7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A3E79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9BE0B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02464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E8566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DBD3D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146FE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D6561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957EB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0805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883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445D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75AC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他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DF8FE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3EC4C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FB8DE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92A90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8F1FB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AB78D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05F79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5A16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9B1D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AFF37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（七）总计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C9571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821CA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CF622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E447A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C3CE7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DDE25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9FA62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247D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99483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四、结转下年度继续办理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9BC21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581B6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C92C5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D3A21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660C2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467D2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F270F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</w:tbl>
    <w:p w14:paraId="669027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74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836"/>
        <w:gridCol w:w="546"/>
        <w:gridCol w:w="546"/>
        <w:gridCol w:w="546"/>
        <w:gridCol w:w="546"/>
        <w:gridCol w:w="546"/>
      </w:tblGrid>
      <w:tr w14:paraId="0502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BAFED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行政复议</w:t>
            </w:r>
          </w:p>
        </w:tc>
        <w:tc>
          <w:tcPr>
            <w:tcW w:w="514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E316C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行政诉讼</w:t>
            </w:r>
          </w:p>
        </w:tc>
      </w:tr>
      <w:tr w14:paraId="0C4C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2AFD4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结果维持</w:t>
            </w:r>
          </w:p>
        </w:tc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29695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结果纠正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F0BF3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其他结果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331EA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尚未审结</w:t>
            </w:r>
          </w:p>
        </w:tc>
        <w:tc>
          <w:tcPr>
            <w:tcW w:w="41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85DC7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</w:t>
            </w:r>
          </w:p>
          <w:p w14:paraId="623DC4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FA168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未经复议直接起诉</w:t>
            </w:r>
          </w:p>
        </w:tc>
        <w:tc>
          <w:tcPr>
            <w:tcW w:w="253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54EE8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复议后起诉</w:t>
            </w:r>
          </w:p>
        </w:tc>
      </w:tr>
      <w:tr w14:paraId="0D5C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18BA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C9E8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D923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7FB5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A795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5F316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结果维持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207A0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结果纠正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8FB4B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其他结果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52896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尚未审结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1B0C0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 计   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C42A3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结果维持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C1DA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结果纠正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19173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其他结果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90C14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尚未审结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FEB4D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总计</w:t>
            </w:r>
          </w:p>
        </w:tc>
      </w:tr>
      <w:tr w14:paraId="5D147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75910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E1FFF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791A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3B3A7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EE808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8C50C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9BD2D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478A5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8B138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0AEB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C4235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F392F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CFA79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046D7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CDCCA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</w:tbl>
    <w:p w14:paraId="5C746F22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 w14:paraId="680DD68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（一）存在的问题：目前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裕民县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新建加油站项目公示仅在塔城地区行政公署官网进行公示，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裕民县商工信局没有行政审批权。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信息公开受众渠道有限，同时新建加油站内容方面有待于进一步丰富。</w:t>
      </w:r>
    </w:p>
    <w:p w14:paraId="6EDA22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（二）改进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一是进一步充实、规范信息公开内容，创新信息公开形式；二是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结合当前存在的问题及工作开展情况，进一步拓宽信息公开渠道，提高公开的信息质量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强化履职尽责，提升业务工作水平，继续完善申请受理、审查、答复等各环节流程。</w:t>
      </w:r>
    </w:p>
    <w:p w14:paraId="743C1A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 w14:paraId="158184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本机关按照《国务院办公厅关于印发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政府信息公开信息处理费管理办法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的通知》（国办函﹝2020﹞109号）规定的按件、按量收费标准，本年度没有产生信息公开处理费。</w:t>
      </w:r>
    </w:p>
    <w:p w14:paraId="5FB9EC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63B88D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裕民县商务和工业信息化局</w:t>
      </w:r>
    </w:p>
    <w:p w14:paraId="2D51D7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242D5EF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5F4EE"/>
    <w:multiLevelType w:val="singleLevel"/>
    <w:tmpl w:val="1595F4E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00000000"/>
    <w:rsid w:val="003D33AC"/>
    <w:rsid w:val="0F5633F5"/>
    <w:rsid w:val="1C5D5CB7"/>
    <w:rsid w:val="5E0C0463"/>
    <w:rsid w:val="722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1344</Words>
  <Characters>1389</Characters>
  <Lines>0</Lines>
  <Paragraphs>0</Paragraphs>
  <TotalTime>43</TotalTime>
  <ScaleCrop>false</ScaleCrop>
  <LinksUpToDate>false</LinksUpToDate>
  <CharactersWithSpaces>1429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2024-11-07T10:32:00Z</dcterms:created>
  <dc:creator>admin</dc:creator>
  <cp:lastModifiedBy>一闪一闪亮晶晶</cp:lastModifiedBy>
  <cp:lastPrinted>2024-11-07T11:33:00Z</cp:lastPrinted>
  <dcterms:modified xsi:type="dcterms:W3CDTF">2025-05-29T10:00:57Z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91392C75C4B1403FA0A7D486C327992A_13</vt:lpwstr>
  </property>
  <property fmtid="{D5CDD505-2E9C-101B-9397-08002B2CF9AE}" pid="4" name="KSOTemplateDocerSaveRecord">
    <vt:lpwstr>eyJoZGlkIjoiODUwNzE4MDg5MjJjMTMyN2I4YWNmMzA0ODhiYWRkMWEiLCJ1c2VySWQiOiI0Mzg1NTQ4OTQifQ==</vt:lpwstr>
  </property>
</Properties>
</file>