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82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裕民县住房和城乡建设局“十三五”时期及2020年</w:t>
      </w:r>
    </w:p>
    <w:p w14:paraId="500C93D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工作和2021年主要预期目标任务</w:t>
      </w:r>
    </w:p>
    <w:p w14:paraId="2EE3605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7DAF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三五”期间，在县委、县政府的正确领导下，住建局认真贯彻落实党的十九大精神，以习近平新时代中国特色社会主义思想为引领，紧紧围绕既定的发展战略和制定的工作目标，以保障和改善民生为出发点，主动担当、切实作为，城市建设各项工作成绩突出，圆满完成了“十三五”期间的各项工作任务，</w:t>
      </w:r>
    </w:p>
    <w:p w14:paraId="6FAC6F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一、“十三五”期间工作总结</w:t>
      </w:r>
    </w:p>
    <w:p w14:paraId="7BE6A1A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（一）市政基础设施建设方面</w:t>
      </w:r>
    </w:p>
    <w:p w14:paraId="54BA9F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市政设施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投资31.35万元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园采购了监控设备和音响设备、更换了人工湖护栏；投资120万元安装了道路红绿灯和警示标志牌；投资128万元采购了四座公厕；投资60万元安装了消防栓、消防水鹤；投资600万元，对塔斯特路进行了罩面改造；投资700万元，对9个老旧小区进行了改造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投资1029万元，实施2017、2018年棚户区改造基础配套设施工程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 w14:paraId="08DA9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市政道路改造工程。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万元，实施万花园路北延工程，郁金香路北延工程，巴尔鲁克路西延工程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龙珍路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规划一路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海棠路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规划二路、郁金香路，红花路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；投资412.15万元，完成巴尔鲁克路两侧商铺门前硬化工程，硬化面积2.8万平米；投资92.4万元，完成城市双修工作，对县城损坏人行道、渠道、桥涵检查井进行维修，对道路坑槽进行修补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；投资335.7万元，实施中心巷、阳光小区等65条巷道改造。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投资750万元，完成了2019年道路景观提升改造工程，改造人行横道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</w:p>
    <w:p w14:paraId="25D25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供排水建设。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投资1000万元，安装DN110-DN315管道17500米，新建800立方米预沉池一座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实施绿化分支水工程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投资380万元，安装智能IC卡水表，数量12685块。投资1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万元，安装绿化管道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24.9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公里，新建800立方米预沉池一座；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投资4000万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完成规模为3500立方米的污水处理厂提标改造工程（一期）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，出水水质达到一级A标准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投资250万元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改造城区污水管线4000米。</w:t>
      </w:r>
    </w:p>
    <w:p w14:paraId="624180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集中供热建设。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200万元，新建供热能力20万平方米的换热站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座，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投资2500万元实施脱硫脱硝设施改造工程，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ar-SA" w:bidi="ar-SA"/>
        </w:rPr>
        <w:t>锅炉排放烟气达到国家标准。</w:t>
      </w:r>
    </w:p>
    <w:p w14:paraId="4FD876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天燃气入户。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万元，铺设中压管线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，安装民用气入户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07FC2B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住房建设方面</w:t>
      </w:r>
    </w:p>
    <w:p w14:paraId="0A14E65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保障性住房建设情况。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一是原廉租住房。投资436万元，新建原廉租住房50套，建筑面积2500平方米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二是公共租赁住房。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投资850万元，实施公共租赁住房建设162套，建筑面积 5670平方米。</w:t>
      </w:r>
    </w:p>
    <w:p w14:paraId="6E8DA6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房产开发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房地产市场开发项目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个，开发总面积约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8万平方米，计划总投资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投资18713万元对457户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城镇棚户区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5424C6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物业管理服务方面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年底我县城镇住宅楼住户共有6945户，其中已入住5640户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已建立社主委员会小区18个，社区代管业委会小区13个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现有物业公司5家，负责服务住宅小区有17个，服务面积45.3万平方米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1F5D77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（三）环境卫生方面</w:t>
      </w:r>
    </w:p>
    <w:p w14:paraId="5DF4A1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积极做好城区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61万平方米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保洁工作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，城区主要干道实行“一日两清扫巡回保洁”制度，全天候动态保洁，确保路面整洁。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年均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垃圾清运量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同时加强垃圾场卫生填埋防止二次污染，生活垃圾无害化处理率达100%。投资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万元，采购环卫机械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投资1000万元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实施垃圾填埋场建设工程，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建设规模17500平方米，库容13.5万立方米垃圾处理填埋场一座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投资11.8万元，购置了100个垃圾桶和垃圾箱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通过招商引资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在县城友好路、巴尔鲁克路等县城主要街道安装太阳能环保果皮箱100个。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投资100万元，采购抛雪机一台，除雪滚刷2台，做好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61万平方米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冬季破冰除雪工作。</w:t>
      </w:r>
    </w:p>
    <w:p w14:paraId="33965A90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 xml:space="preserve"> （四）园林绿化方面</w:t>
      </w:r>
    </w:p>
    <w:p w14:paraId="2752C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以创建国家园林县城为目标，坚持生态建设，不断改善人居环境，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培育花苗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20个品种100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县城各主要街道、公园、生态园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山花节以及各重大节日期间的花卉装扮工作，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“一城树、半城水、满眼绿、花香伴”的独特景观。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投资100万元，实施了裸露地块绿化，立体绿化景观改造，购置郁金香种球10万株，采购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白桦、黄金树、山桃等10余个品种风景树种植在生态园内。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投资400万元，实施巴什拜游园建设项目，占地总面积4141平方米，绿化面积2869平方米，绿地率69.2%。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投资15.86万元购买立体景观花架放置在生态园，形态各、造型美观。</w:t>
      </w:r>
    </w:p>
    <w:p w14:paraId="7A91C1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二、2020年工作总结</w:t>
      </w:r>
    </w:p>
    <w:p w14:paraId="0CC7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以来，住建局党组坚持以习近平新时代中国特色社会主义思想为指导，深入贯彻落实党的十九大、十九届二中、三中、四中全会精神，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贯彻落实县委十二届八次全委（扩大）会议精神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，在坚定不移地做好疫情防控工作的同时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有序推定建筑行业复工复产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以提升城市品位为出发点，充分发挥住建部门的职能作用，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年初既定的各项工作任务圆满完成。</w:t>
      </w:r>
    </w:p>
    <w:p w14:paraId="503D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（一）城市基础设施建设方面</w:t>
      </w:r>
    </w:p>
    <w:p w14:paraId="754B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1、完成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亚行续建项目。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完成亚行</w:t>
      </w:r>
      <w:r>
        <w:rPr>
          <w:rFonts w:hint="eastAsia" w:ascii="仿宋_GB2312" w:hAnsi="仿宋_GB2312" w:eastAsia="仿宋_GB2312" w:cs="仿宋_GB2312"/>
          <w:sz w:val="32"/>
          <w:szCs w:val="32"/>
        </w:rPr>
        <w:t>1包项目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万元，道路总长度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258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2、完成城市双修工程。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投资24.4万元，完成友好路花岗岩修补约150平方米，县城道路路面修补及巷道修补1400平方米，县城道路路口铁篦子拆除、维修7处。</w:t>
      </w:r>
    </w:p>
    <w:p w14:paraId="6104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3、实施裕民县便民停车场建设项目。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计划投资1000万元，建设占地面积15000平方米，可容纳500辆汽车的停车场，及相关配套附属设施等，该项目已于9月1日开工建设，预计10月中旬完工。</w:t>
      </w:r>
    </w:p>
    <w:p w14:paraId="3133D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4、完成库沙克南村小游园建设项目。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总投资50万元，在库沙克南村实施小游园建设项目，总面积4635.75平方米，绿化面积3067.37平方米，铺装面积428.98平方米的小游园。</w:t>
      </w:r>
    </w:p>
    <w:p w14:paraId="3C7D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5、完成阿克铁克切村小游园建设项目。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总投资100万元，在库沙克南村实施小游园建设项目，总面积5278.31平方米，绿化面积3031.36平方米，铺装面积1232.87平方米的小游园。</w:t>
      </w:r>
    </w:p>
    <w:p w14:paraId="6568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（二）住房建设方面</w:t>
      </w:r>
    </w:p>
    <w:p w14:paraId="3A29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1、房地产开发工作。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投资3500万元，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红花国际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房地产开发2.1万平方米，目前正在主体施工中，预计11月底竣工。</w:t>
      </w:r>
    </w:p>
    <w:p w14:paraId="4D002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2、老旧小区改造工作。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计划投资755万元，实施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老旧小区18个，改造家庭642户，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目前正在开工建设。</w:t>
      </w:r>
    </w:p>
    <w:p w14:paraId="35ADD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3、安居富民房建设工作。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年安居富民建设任务为2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地区统筹从和丰县调剂增加3套，共计260套，总投资1820万元，其中政府补助741万，农牧民自筹1079万元。</w:t>
      </w:r>
    </w:p>
    <w:p w14:paraId="118D9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4、天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燃气入户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计划投资500万，对绿色家园、团结花苑、亚欧小区、发改委小区等开展城镇天然气入户400户，目前已完成安装230户，预计11月中旬完工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D1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（三）供排水建设方面</w:t>
      </w:r>
    </w:p>
    <w:p w14:paraId="1F0F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计划投资3100万元，实施裕民县日处理1万立方污水处理厂（二期）建设项目，建设规模为日处理污水3500立方，建设内容AO池1座，二沉池1座，事故池和应急池各1座等，工程于3月20日开工建设，目前完成75%的工程量，预计11月底完工。</w:t>
      </w:r>
    </w:p>
    <w:p w14:paraId="17A1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2、计划投资700万元，实施裕民县农村供水设施改造提升工程。主要对水厂和二沉池进行升级改造，工程于今年4月10日开工，目前完成总工程量的80%，预计10月底完工。</w:t>
      </w:r>
    </w:p>
    <w:p w14:paraId="4378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3、计划投资1915万元，实施裕民县城供水管网改造工程。铺设水库至龙口预沉池DN600管道长9600米以及附属设施，工程于6月6日开工建设，目前已完成管道安装7000米，预计11月底完工。</w:t>
      </w:r>
    </w:p>
    <w:p w14:paraId="26C2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4、计划投资957万元，实施红花物流园供水管道安装工程。铺设供水管网9000米，目前正在施工。</w:t>
      </w:r>
    </w:p>
    <w:p w14:paraId="22DD6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集中供热工作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方面</w:t>
      </w:r>
    </w:p>
    <w:p w14:paraId="43A0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投资2000万元，实施裕民县2020年城市集中供热建设项目，建设二次供热管网2400米，管径为DN200；更换现状巴什拜路、万花园路、郁金香路及巴尔鲁克路一次水管网上的固定墩及补偿器；将现有政府换热站进行煤改电改造，由区域性分散电锅炉来替代现有的换热站供热方式。工程已于9月1日开工建设，预计11月底完工。</w:t>
      </w:r>
    </w:p>
    <w:p w14:paraId="681AE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园林绿化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建设方面</w:t>
      </w:r>
    </w:p>
    <w:p w14:paraId="4E4D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以创建国家级园林县城为目标，加快园林县城建设。投资500万，完成规划一路、规划二路、海棠路北延（东环路）进行绿化提升改造；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完成县城主要街道、公园、广场等</w:t>
      </w:r>
      <w:r>
        <w:rPr>
          <w:rFonts w:hint="eastAsia" w:ascii="仿宋_GB2312" w:hAnsi="仿宋_GB2312" w:eastAsia="仿宋_GB2312" w:cs="仿宋_GB2312"/>
          <w:sz w:val="32"/>
          <w:szCs w:val="32"/>
        </w:rPr>
        <w:t>80万株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花卉的种植工作；积极做好县城树木修枝、管护等日常工作。</w:t>
      </w:r>
    </w:p>
    <w:p w14:paraId="311A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六）环境卫生方面</w:t>
      </w:r>
    </w:p>
    <w:p w14:paraId="508B1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城区61万平方米清扫保洁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要干道实行“洒水车高压喷洗、大型清扫车为主、小型清扫车为辅、人力清扫为补充”的道路清扫保洁机制，全天候动态保洁，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垃圾清运量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00吨，同时加强垃圾场卫生填埋防止二次污染，生活垃圾无害化处理率达100%。</w:t>
      </w:r>
    </w:p>
    <w:p w14:paraId="69CD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七）城市管理方面</w:t>
      </w:r>
    </w:p>
    <w:p w14:paraId="3EAE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按照三分建设，七分管理原则，主要是对我县主要区域、重点地段、建筑工地周边等运输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淤泥</w:t>
      </w:r>
      <w:r>
        <w:rPr>
          <w:rFonts w:hint="eastAsia" w:ascii="仿宋_GB2312" w:hAnsi="仿宋_GB2312" w:eastAsia="仿宋_GB2312" w:cs="仿宋_GB2312"/>
          <w:sz w:val="32"/>
          <w:szCs w:val="32"/>
        </w:rPr>
        <w:t>渣土的散体物料运输车辆进行不定时的设点清查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加强对乱贴乱涂行为的监管，督促“门前三包”单位、经营户及时清除责任区的乱贴、乱画、乱涂行为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对责任地段的“牛皮癣”进行清理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共治理渣土运输车辆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余次整治占道经营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余起（次），清除乱贴小广告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多张，办证号码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00余条，及时清除招租广告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00余条。共查处违章建筑20起，无立案。</w:t>
      </w:r>
    </w:p>
    <w:p w14:paraId="2F409A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三、2021年重点工作</w:t>
      </w:r>
    </w:p>
    <w:p w14:paraId="6ED86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（一）2021年总体工作要求</w:t>
      </w:r>
    </w:p>
    <w:p w14:paraId="7BD71D63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习近平新时代中国特色社会主义思想为指导，认真贯彻落实党的十九大精神、十九届四中、五中全会精神，重点围绕中央新疆第三次工作座谈会精神，紧紧围绕社会稳定和长治久安总目标，在县委、县政府的正确领导下，不断完善城市服务功能，提高城市综合承载能力，推动县域经济快速发展，为此提出以下重点工作。</w:t>
      </w:r>
    </w:p>
    <w:p w14:paraId="743D96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主要预期目标</w:t>
      </w:r>
    </w:p>
    <w:p w14:paraId="68289A5F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一是城镇基础设施建设不断完善，服务功能进一步提升。</w:t>
      </w:r>
    </w:p>
    <w:p w14:paraId="48E0ACC1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二是城市供暖、供排水设施建设不断完善，服务水平进一步提高。</w:t>
      </w:r>
    </w:p>
    <w:p w14:paraId="190260D3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三是环境卫生及园林绿化进一步提升。</w:t>
      </w:r>
    </w:p>
    <w:p w14:paraId="5D787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（三）重点任务和工作措施</w:t>
      </w:r>
    </w:p>
    <w:p w14:paraId="791CB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1、计划投资1000万元，实施裕民县巴尔鲁克路改造建设项目，道路长2200米。</w:t>
      </w:r>
    </w:p>
    <w:p w14:paraId="13373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2、计划投资2000万元，实施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裕民县城镇生活垃圾转运站建设项目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新建1座日处理100吨生活垃圾转运站1座及配套附属设备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；购置换机械18辆；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新建5000平方米车库1座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B5C9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3、计划投资1000万元，实施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裕民县热源站提升改造工程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，安装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130吨锅炉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一座，部分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换热站设备维修及更换；</w:t>
      </w:r>
    </w:p>
    <w:p w14:paraId="405F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4、计划投资1000万元，实施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裕民县城镇供热智能化控制阀安装项目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县城用暖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户智能化控制阀的采购及安装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5、计划投资1000万元，实施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裕民县城供水设施改造项目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来水厂D型滤池改造、新建5000立方清水池一座及附属设施建设、新增化验设备一套、新建500立方沉淀池、水厂厂区部分设施改造修缮（包括地坪、食堂、值班室等）、部分厂区供水管网改造、自来水厂、二沉池安装电采暖设施等。</w:t>
      </w:r>
    </w:p>
    <w:p w14:paraId="4E97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6、计划投资3000万元，实施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裕民县供水智慧水务建设项目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线监测系统，智慧水表、服务大厅等，城区供水管网水质、水压在线监测系统建设；县城智慧水表建设1.7万块；自来水综合服务大厅及水质监测室建设面积1000平方米；自来水厂监控系统建设；增设城区部分阀门井及附属设施；二沉池监控设施建设、值班室建设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C2F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62E5060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46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裕民县住房和城乡建设局</w:t>
      </w:r>
    </w:p>
    <w:p w14:paraId="3184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2020年10月8日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A56DD"/>
    <w:multiLevelType w:val="singleLevel"/>
    <w:tmpl w:val="12BA56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97A624E"/>
    <w:rsid w:val="097A624E"/>
    <w:rsid w:val="1CB705F3"/>
    <w:rsid w:val="528074E5"/>
    <w:rsid w:val="63D43C01"/>
    <w:rsid w:val="64CA33D9"/>
    <w:rsid w:val="699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3975</Words>
  <Characters>4410</Characters>
  <Lines>0</Lines>
  <Paragraphs>0</Paragraphs>
  <TotalTime>32</TotalTime>
  <ScaleCrop>false</ScaleCrop>
  <LinksUpToDate>false</LinksUpToDate>
  <CharactersWithSpaces>4500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2020-10-08T08:42:00Z</dcterms:created>
  <dc:creator>myl</dc:creator>
  <cp:lastModifiedBy>sinner</cp:lastModifiedBy>
  <cp:lastPrinted>2020-10-08T09:11:00Z</cp:lastPrinted>
  <dcterms:modified xsi:type="dcterms:W3CDTF">2024-11-07T11:14:02Z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C90816FF2E444AB1B5E925A91B050B49</vt:lpwstr>
  </property>
</Properties>
</file>