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49CCF2">
      <w:pPr>
        <w:spacing w:line="540" w:lineRule="exact"/>
        <w:ind w:right="-109" w:rightChars="-52" w:firstLine="5920" w:firstLineChars="1850"/>
        <w:rPr>
          <w:rFonts w:hint="eastAsia" w:ascii="仿宋_GB2312" w:eastAsia="仿宋_GB2312"/>
          <w:sz w:val="32"/>
          <w:szCs w:val="32"/>
        </w:rPr>
      </w:pPr>
      <w:bookmarkStart w:id="0" w:name="_GoBack"/>
    </w:p>
    <w:bookmarkEnd w:id="0"/>
    <w:p w14:paraId="559731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6AD3813D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883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裕民县政务服务中心</w:t>
      </w: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年度法治</w:t>
      </w:r>
    </w:p>
    <w:p w14:paraId="598ADF9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09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10"/>
          <w:szCs w:val="1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kern w:val="2"/>
          <w:sz w:val="44"/>
          <w:szCs w:val="44"/>
          <w:shd w:val="clear" w:fill="FFFFFF"/>
          <w:lang w:val="en-US" w:eastAsia="zh-CN" w:bidi="ar-SA"/>
          <w14:textFill>
            <w14:solidFill>
              <w14:schemeClr w14:val="tx1"/>
            </w14:solidFill>
          </w14:textFill>
        </w:rPr>
        <w:t>政府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14:textFill>
            <w14:solidFill>
              <w14:schemeClr w14:val="tx1"/>
            </w14:solidFill>
          </w14:textFill>
        </w:rPr>
        <w:t>建设工作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000000" w:themeColor="text1"/>
          <w:spacing w:val="0"/>
          <w:sz w:val="44"/>
          <w:szCs w:val="4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总结</w:t>
      </w:r>
    </w:p>
    <w:p w14:paraId="62D679B3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</w:p>
    <w:p w14:paraId="37B25E14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按照县政府要求，现将裕民县政务服务中心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2024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年度推进法治政府建设情况总结如下：</w:t>
      </w:r>
    </w:p>
    <w:p w14:paraId="1E21FC6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20" w:lineRule="exact"/>
        <w:ind w:left="0" w:right="0" w:firstLine="640" w:firstLineChars="200"/>
        <w:jc w:val="left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一、工作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开展情况</w:t>
      </w:r>
    </w:p>
    <w:p w14:paraId="730642D1"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强化组织领导，提供坚强保障。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稳步推进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，成立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了以主要领导为组长，班子成员为副组长，中心办公室人员及窗口单位负责同志为成员的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工作领导小组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法治建设、依法行政工作列入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年度工作计划，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与其他重点工作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同研究、同部署，形成主要领导负责抓、分管领导具体抓，相关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配合抓的工作局面。</w:t>
      </w:r>
    </w:p>
    <w:p w14:paraId="586C9B5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加强学习宣传，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强化法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治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意识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认真学习宣传习近平法治思想。利用每周五集中学习日、三会一课等方式，组织中心干部和窗口单位干部学习《中国共产党章程》</w:t>
      </w:r>
      <w:r>
        <w:rPr>
          <w:rFonts w:hint="eastAsia" w:ascii="仿宋_GB2312" w:eastAsia="仿宋_GB2312"/>
          <w:color w:val="auto"/>
          <w:sz w:val="32"/>
          <w:szCs w:val="32"/>
        </w:rPr>
        <w:t>《中国共产党纪律处分条例》《中国共产党问责条例》等法律法规和规章制度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全面提升党员干部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法治思维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和法治意识，增强依法办事的自觉性，进一步提升对群众的服务质量和服务效率。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积极参加“法治讲堂·逢九必讲”培训。三是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利用大厅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LED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显示屏播放《中华人民共和国宪法》《中华人民共和国民法典》《营商环境条例》等国家法律法规以及法治宣传标语，提升大厅工作人员与办事群众法治意识，大力营造大厅尊法学法守法用法的良好氛围。</w:t>
      </w:r>
    </w:p>
    <w:p w14:paraId="0B426658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有效提升干部学法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不断推进</w:t>
      </w: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用法守法水平。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大力推进领导干部法制教育的制度化、规范化和常态化，健全并落实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领导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班子成员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集体学法制度，确保每年组织集体学法不少于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次，其中专题学法不少于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每月按照“逢九必讲”原则，中心领导干部全员参加听讲，并做好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领导干部要带头参加网上在线答题等活动，营造学法尊法守法用法的良好氛围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03F0DB7A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（四）多举措开展个性化服务，提升政务服务效能。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设置“办不成事”反映窗口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。针对群众办事过程中无法办理的“堵点”“难点”和“卡点”问题，采取“一对一”和现场办公进行跟踪，目前已解决各类问题7项，极大提升了群众满意度。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二是合理划分大厅区域，群众办事更便捷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position w:val="0"/>
          <w:sz w:val="32"/>
          <w:highlight w:val="none"/>
          <w:u w:val="none" w:color="auto"/>
          <w:shd w:val="clear" w:color="auto" w:fill="auto"/>
          <w:lang w:val="en-US" w:eastAsia="zh-CN"/>
        </w:rPr>
        <w:t>打破服务大厅陈旧布局，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highlight w:val="none"/>
          <w:shd w:val="clear" w:color="auto" w:fill="auto"/>
          <w:lang w:val="en-US" w:eastAsia="zh-CN"/>
        </w:rPr>
        <w:t>利用现有空间，整合资源，合理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position w:val="0"/>
          <w:sz w:val="32"/>
          <w:highlight w:val="none"/>
          <w:u w:val="none" w:color="auto"/>
          <w:shd w:val="clear" w:color="auto" w:fill="auto"/>
          <w:lang w:val="en-US" w:eastAsia="zh-CN"/>
        </w:rPr>
        <w:t>划分“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highlight w:val="none"/>
          <w:shd w:val="clear" w:color="auto" w:fill="auto"/>
          <w:lang w:val="en-US" w:eastAsia="zh-CN"/>
        </w:rPr>
        <w:t>涉企专区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0"/>
          <w:position w:val="0"/>
          <w:sz w:val="32"/>
          <w:highlight w:val="none"/>
          <w:u w:val="none" w:color="auto"/>
          <w:shd w:val="clear" w:color="auto" w:fill="auto"/>
          <w:lang w:val="en-US" w:eastAsia="zh-CN"/>
        </w:rPr>
        <w:t>”“高效办成一件事专区”“行政审批专区”“自助服务区”“休息等候区”等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highlight w:val="none"/>
          <w:shd w:val="clear" w:color="auto" w:fill="auto"/>
          <w:lang w:val="en-US" w:eastAsia="zh-CN"/>
        </w:rPr>
        <w:t>个区域，为办事群众打造更加便捷、高效、舒适的政务服务环境。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三是扶残助残在行动，政务服务暖人心。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highlight w:val="none"/>
          <w:shd w:val="clear" w:color="auto" w:fill="auto"/>
          <w:lang w:val="en-US" w:eastAsia="zh-CN"/>
        </w:rPr>
        <w:t>在咨询台处张贴“残障人士求助电话”，安排专人随时为残障人士提供服务，做到为民服务“暖人心”；在必要处张贴安全提示牌、指引牌等</w:t>
      </w:r>
      <w:r>
        <w:rPr>
          <w:rFonts w:hint="default" w:ascii="Times New Roman" w:hAnsi="Times New Roman" w:eastAsia="仿宋_GB2312" w:cs="Times New Roman"/>
          <w:color w:val="auto"/>
          <w:spacing w:val="0"/>
          <w:position w:val="0"/>
          <w:sz w:val="32"/>
          <w:highlight w:val="none"/>
          <w:shd w:val="clear" w:color="auto" w:fill="auto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highlight w:val="none"/>
          <w:shd w:val="clear" w:color="auto" w:fill="auto"/>
          <w:lang w:val="en-US" w:eastAsia="zh-CN"/>
        </w:rPr>
        <w:t>个指示标识，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更好地满足办事群众的办事需求。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四是用服务保障筑牢人才留驻之基。</w:t>
      </w:r>
      <w:r>
        <w:rPr>
          <w:rFonts w:hint="eastAsia" w:ascii="Times New Roman" w:hAnsi="Times New Roman" w:eastAsia="仿宋_GB2312" w:cs="Times New Roman"/>
          <w:color w:val="auto"/>
          <w:spacing w:val="0"/>
          <w:position w:val="0"/>
          <w:sz w:val="32"/>
          <w:highlight w:val="none"/>
          <w:shd w:val="clear" w:color="auto" w:fill="auto"/>
          <w:lang w:val="en-US" w:eastAsia="zh-CN"/>
        </w:rPr>
        <w:t>积极配合县人才办工作，新增“人才服务绿色通道”，安排专人受理相关事宜，为裕民县人才提供生活服务保障，为全县人才工作提供一份助力，目前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共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受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理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人才服务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事项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件。</w:t>
      </w:r>
      <w:r>
        <w:rPr>
          <w:rFonts w:hint="eastAsia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五是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持续创新便民、利民服务方式，践行“高效、便民”服务理念。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制定《裕民县优化营商环境招商引资项目帮办、代办服务工作方案》，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sz w:val="32"/>
          <w:szCs w:val="32"/>
          <w:lang w:val="en-US" w:eastAsia="zh-CN"/>
        </w:rPr>
        <w:t>成立党员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帮办代办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红色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上门先锋</w:t>
      </w:r>
      <w:r>
        <w:rPr>
          <w:rStyle w:val="11"/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队。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以来，共计为6家企业提供了帮办代办服务。开展“延时、预约、电话咨询、上门、证照寄递”等个性化服务，不断节约办事群众跑办时间及成本，实现多渠道、多途径提升办事效率和服务水平。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以来共开展预约服务145件次，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2"/>
          <w:sz w:val="32"/>
          <w:szCs w:val="32"/>
          <w:lang w:val="en-US" w:eastAsia="zh-CN" w:bidi="ar-SA"/>
        </w:rPr>
        <w:t>延时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2"/>
          <w:sz w:val="32"/>
          <w:szCs w:val="32"/>
          <w:lang w:val="en-US" w:eastAsia="zh-CN" w:bidi="ar-SA"/>
        </w:rPr>
        <w:t>服务</w:t>
      </w:r>
      <w:r>
        <w:rPr>
          <w:rFonts w:hint="default" w:ascii="Times New Roman" w:hAnsi="Times New Roman" w:eastAsia="仿宋_GB2312" w:cs="Times New Roman"/>
          <w:color w:val="auto"/>
          <w:spacing w:val="6"/>
          <w:kern w:val="2"/>
          <w:sz w:val="32"/>
          <w:szCs w:val="32"/>
          <w:lang w:val="en-US" w:eastAsia="zh-CN" w:bidi="ar-SA"/>
        </w:rPr>
        <w:t>78件</w:t>
      </w:r>
      <w:r>
        <w:rPr>
          <w:rFonts w:hint="eastAsia" w:ascii="Times New Roman" w:hAnsi="Times New Roman" w:eastAsia="仿宋_GB2312" w:cs="Times New Roman"/>
          <w:color w:val="auto"/>
          <w:spacing w:val="6"/>
          <w:kern w:val="2"/>
          <w:sz w:val="32"/>
          <w:szCs w:val="32"/>
          <w:lang w:val="en-US" w:eastAsia="zh-CN" w:bidi="ar-SA"/>
        </w:rPr>
        <w:t>次，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上门服务51件次，电话咨询153件次，邮寄22件次。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畅通投诉渠道，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强化群众监督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在实体大厅醒目处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张贴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12345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政务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服务热线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，并积极推动政务服务事项“好差评”评价机制，利用现场端、短信端、移动端、二维码等七种评价方式对窗口工作人员的业务效能、服务态度进行评价，反向促进中心作风建设。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以来政务服务“好差评”等渠道反映的各类诉求5件，集中办理5件，办理率100%，实现以高质量高效率为民解忧。</w:t>
      </w:r>
      <w:r>
        <w:rPr>
          <w:rFonts w:hint="eastAsia" w:hAnsi="Times New Roman" w:eastAsia="仿宋_GB2312" w:cs="Times New Roman"/>
          <w:b/>
          <w:bCs/>
          <w:sz w:val="32"/>
          <w:szCs w:val="32"/>
          <w:lang w:val="en-US" w:eastAsia="zh-CN"/>
        </w:rPr>
        <w:t>七是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开展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领导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“坐窗口、走流程、优服务”活动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15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为准确了解企业和群众办事难事问题，中心结合工作实际，于2023年11月开展“领导进大厅走流程”工作，采取“沉浸式”参与、“零距离”沟通的方式，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部门领导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亲身体验办事全流程，发现问题、制定方案、改进工作，主动破解群众办事难题，切实提高群众的获得感和满意度。促进中心政务服务工作整体提升。截至目前已经有18个单位，136名领导开展了活动。</w:t>
      </w:r>
      <w:r>
        <w:rPr>
          <w:rFonts w:hint="eastAsia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八是助企扶企，“塔礼包”赋能，降低企业开办成本，优化营商环境。</w:t>
      </w:r>
      <w:r>
        <w:rPr>
          <w:rFonts w:hint="eastAsia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进一步提升“亲商、安商、富商、扶商”服务水平，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持续深化“放管服”改革，不断激发市场活力，切实提高企业开办便利度，根据《塔城地区优化营商环境实施意见》，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在塔城地区裕民县辖区内新开办企业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和农民专业合作社（不包含个体工商户），可在设立时享受首次刻制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免费服务。免费刻制的印章包括（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公章、财务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专用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章、发票专用章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、法人名章）各一枚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。自今年以来共为新办企业发放“塔礼包”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 w14:paraId="4EF8D95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（五）不断优化政务服务改革，持续推进“线上办”。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一是推进“高效办成一件事”落地落实。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依托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新疆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一体化政务服务平台推动部门间信息共享互认，形成“一套材料、单次采集、多方共用”的工作机制，实现企业需办理的跨部门事项同步办理，推动办件材料、结果等实时线上共享，实现“一件事”全程网办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，截至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目前，高效办成一件事窗口已办结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项。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二是</w:t>
      </w:r>
      <w:r>
        <w:rPr>
          <w:rFonts w:hint="default" w:ascii="仿宋_GB2312" w:hAnsi="仿宋_GB2312" w:eastAsia="仿宋_GB2312" w:cs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减环节压时间，压缩开办时间。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依托新疆政务服务网“企业开办专区”实现“一网通办、数据共享”，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月以来中心再次按照自治区标准化复用模板梳理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行政审批和公共服务事项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由原来的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777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项增加到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1163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可网办事项比例达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9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%，即办事项比例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%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将企业开办时间压减至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个工作日，从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%，提升到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80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%。</w:t>
      </w:r>
      <w:r>
        <w:rPr>
          <w:rFonts w:hint="eastAsia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大力推进“最多跑一次”改革。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对各职能部门审批事项梳理重塑，压减审批流程，全县涉及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个部门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286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项事项实现“最多跑一次”“最快送一次”。公积金窗口贷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款审批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业务、公安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174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项、社保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79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项、医保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项等通过手机APP、门户网站、单位网厅等渠道大力推行“网上办”“掌上办”。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今年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以来网上办理量达到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36691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件，网上办理率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97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.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45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%。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四是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扎实推进政务服务“一网通办”。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  <w:t>为全力推进实施“一网通办”改革，以小切口实现大突破，多角度扩大“一网通办”改革工作成果，推动政务服务提质增效。推进“一网通办”过程中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 xml:space="preserve">，区域通办事项101项，发布比例100 %，区域通办事项办件覆盖率101项，覆盖率100% 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主动评价事项覆盖率98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14%，汇聚历史证照汇聚总量2841件，汇聚比例34%，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u w:val="none"/>
          <w:lang w:val="en-US" w:eastAsia="zh-CN"/>
        </w:rPr>
        <w:t>今年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u w:val="none"/>
          <w:lang w:val="en-US" w:eastAsia="zh-CN"/>
        </w:rPr>
        <w:t>以来，中心已接待企业、群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u w:val="none"/>
          <w:lang w:val="en-US" w:eastAsia="zh-CN"/>
        </w:rPr>
        <w:t>众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6"/>
          <w:sz w:val="32"/>
          <w:szCs w:val="32"/>
          <w:u w:val="none"/>
          <w:lang w:val="en-US" w:eastAsia="zh-CN"/>
        </w:rPr>
        <w:t>186人次，办理事项 58件次，受理咨询120件次。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五是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“三级政务服务”体系更规范。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将涉及16个部门73项事项下放到6个乡镇、56个村队（5个社区），实现“马上办”就近办、“一次办”“网上办”让群众办事更便捷。</w:t>
      </w:r>
      <w:r>
        <w:rPr>
          <w:rFonts w:hint="eastAsia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仿宋_GB2312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是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邀请县人社局、市监局、医保局等高频事项部门对下放基层事项进行培训，受训人次62人次，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进一步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提升基层政务服务能力。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年以来办理事项320件。</w:t>
      </w:r>
    </w:p>
    <w:p w14:paraId="760C186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二、存在问题 </w:t>
      </w:r>
    </w:p>
    <w:p w14:paraId="775A482D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Style w:val="14"/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（一）履行主体责任不到位。</w:t>
      </w:r>
      <w:r>
        <w:rPr>
          <w:rStyle w:val="14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中心党支部</w:t>
      </w:r>
      <w:r>
        <w:rPr>
          <w:rStyle w:val="14"/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对</w:t>
      </w:r>
      <w:r>
        <w:rPr>
          <w:rStyle w:val="14"/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法治</w:t>
      </w:r>
      <w:r>
        <w:rPr>
          <w:rStyle w:val="14"/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工作安排多，督促落实少</w:t>
      </w:r>
      <w:r>
        <w:rPr>
          <w:rStyle w:val="14"/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。在学习中，学习与本职业务相关法律较多，学习其他法律法规少。</w:t>
      </w:r>
      <w:r>
        <w:rPr>
          <w:rStyle w:val="14"/>
          <w:rFonts w:hint="default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在工作推进中，</w:t>
      </w:r>
      <w:r>
        <w:rPr>
          <w:rStyle w:val="14"/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  <w:t>对本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职业务、党务等重点工作注重多，对法治工作重视少。在抓班子成员法治思想建设方面用力不足，没有形成“办事依法、遇事找法、解决问题用法、化解矛盾靠法”的法治环境。</w:t>
      </w:r>
    </w:p>
    <w:p w14:paraId="3CA6914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（二）法治意识树得不牢固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对习近平法治思想学习领会不到位，部分干部职工学习各类法律存在不深入学习，存在用时学一学、忙时停一停的现象，没有做到学懂弄通做实。面对突发事件，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固化于原有的思维模式，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存在凭经验解决问题的现象，运用法治思维和法治方式来防范风险、处理问题、化解矛盾的能力还有欠缺。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潜心研究法治力度不够，存在浅尝辄止的现象，用什么学什么、学一点而不全面的问题依然存在。</w:t>
      </w:r>
    </w:p>
    <w:p w14:paraId="2BEF1C9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lang w:val="en-US" w:eastAsia="zh-CN" w:bidi="ar-SA"/>
        </w:rPr>
        <w:t>（三）法治宣传教育有欠缺。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中心党支部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在开展普法活动时，过于学术化，缺乏针对性，开展活动的载体和方式单一，中心和窗口党员干部学习法律法规的积极性和主动性较低。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新媒体新媒介新技术的学习、操作和运用上还不够充分，多数依靠于集中学习，利用学习强国、法宣在线等学习力度不够，宣传的实效性、覆盖率不尽如人意，致使宣传效果不理想。学习内容仅停留于行业内的相关法律知识，对其他法律方面涉及不多，为了学习而学习、为了工作而学习的现象一定程度存在。</w:t>
      </w:r>
    </w:p>
    <w:p w14:paraId="50B0F681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下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一步工作思路</w:t>
      </w:r>
    </w:p>
    <w:p w14:paraId="3BB8C322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</w:pPr>
      <w:r>
        <w:rPr>
          <w:rStyle w:val="10"/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Style w:val="10"/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Style w:val="10"/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Style w:val="10"/>
          <w:rFonts w:hint="eastAsia" w:ascii="楷体_GB2312" w:hAnsi="楷体_GB2312" w:eastAsia="楷体_GB2312" w:cs="楷体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加强理论学习，建设法治人才队伍。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坚持以习近平新时代中国特色社会主义思想为指导，深入学习习近平法治思想，把加强理论学习摆在自身建设的重要位置，做到系统学习掌握，学习领会，学懂弄通做实，紧密结合当前政务服务工作新要求，把学习成果转化为工作思路和具体举措，切实提高依法行政意识。</w:t>
      </w:r>
    </w:p>
    <w:p w14:paraId="7600D4B5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3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持续推进</w:t>
      </w:r>
      <w:r>
        <w:rPr>
          <w:rFonts w:hint="default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“应进必进”</w:t>
      </w:r>
      <w:r>
        <w:rPr>
          <w:rFonts w:hint="eastAsia" w:ascii="Times New Roman" w:hAnsi="Times New Roman" w:eastAsia="楷体_GB2312" w:cs="Times New Roman"/>
          <w:b/>
          <w:bCs/>
          <w:spacing w:val="0"/>
          <w:sz w:val="32"/>
          <w:szCs w:val="32"/>
          <w:lang w:val="en-US" w:eastAsia="zh-CN"/>
        </w:rPr>
        <w:t>工作。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精细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梳理事项，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明确事项清单底数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中心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结合新下放事权，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聚焦企业和群众办事需求，强化举措，压实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成员单位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分管领导和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一体化专管员责任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，合力攻坚，对实体大厅政务服务事项进驻率进行查缺补漏，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对照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行政审批及公共服务应进驻事项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全面、细致梳理出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成员单位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</w:rPr>
        <w:t>进驻大厅及未进驻大厅的政务服务事项清单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确保所有事项“应进必进”。</w:t>
      </w:r>
    </w:p>
    <w:p w14:paraId="027B8169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03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1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eastAsia="zh-CN"/>
        </w:rPr>
        <w:t>）持续推进政务服务向基层延伸</w:t>
      </w:r>
      <w:r>
        <w:rPr>
          <w:rFonts w:hint="eastAsia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工作</w:t>
      </w:r>
      <w:r>
        <w:rPr>
          <w:rFonts w:hint="eastAsia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15"/>
          <w:sz w:val="32"/>
          <w:szCs w:val="32"/>
          <w:lang w:val="en-US" w:eastAsia="zh-CN"/>
        </w:rPr>
        <w:t>利用民政、发改、编办牵头基层治理智理和组织部开展的“七进”工作的开展，在各乡镇村队（社区）利用邮政快递业务，设立。乡镇村队（社区）的“代办帮办”窗口方便群众办事。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15"/>
          <w:sz w:val="32"/>
          <w:szCs w:val="32"/>
          <w:lang w:val="en-US" w:eastAsia="zh-CN"/>
        </w:rPr>
        <w:t>每月开展组织一次窗口工作人员、乡镇专干和中心人员的政策法规、业务知识、办事流程等开展专题培训，通过“全能岗”确保基层政务服务事项在基层放得下、接得好、办得好。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15"/>
          <w:sz w:val="32"/>
          <w:szCs w:val="32"/>
          <w:lang w:val="en-US" w:eastAsia="zh-CN"/>
        </w:rPr>
        <w:t xml:space="preserve">结合地区“石榴籽服务站”示范点工作要求，强化村级组织活动场所功能，积极推进为民代办服务进村进社区，做好裕民县6个乡镇5个村队便民服务中心（站）示范点的打造，形成可复制、可推广、可宣传建设经验，推进实现基层便民服务体系建设标准统一。 </w:t>
      </w:r>
    </w:p>
    <w:p w14:paraId="61ECDD17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703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）多措并举开展宣传工作</w:t>
      </w:r>
      <w:r>
        <w:rPr>
          <w:rFonts w:hint="eastAsia" w:ascii="Times New Roman" w:hAnsi="Times New Roman" w:eastAsia="楷体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为进一步加大政务服务工作信息宣传力度，提高政务服务工作知晓度，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政务服务中心多措并举，有力推动政务信息宣传工作再创新高度。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 w:val="0"/>
          <w:bCs/>
          <w:i w:val="0"/>
          <w:caps w:val="0"/>
          <w:color w:val="000000"/>
          <w:spacing w:val="15"/>
          <w:sz w:val="32"/>
          <w:szCs w:val="32"/>
          <w:lang w:val="en-US" w:eastAsia="zh-CN"/>
        </w:rPr>
        <w:t>做好新疆政务服务一体化旗舰店（互联网端）更新工作。</w:t>
      </w:r>
      <w:r>
        <w:rPr>
          <w:rFonts w:hint="default" w:ascii="Times New Roman" w:hAnsi="Times New Roman" w:eastAsia="仿宋_GB2312" w:cs="Times New Roman"/>
          <w:b/>
          <w:bCs w:val="0"/>
          <w:i w:val="0"/>
          <w:caps w:val="0"/>
          <w:color w:val="000000"/>
          <w:spacing w:val="15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利用网络全方位宣传。围绕中心工作，落实专人负责宣传，挖掘政务服务的亮点和重点工作，充分利用中心微信公众号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政务服务网和各种网络媒体等渠道，对政务工作、窗口工作动态等进行宣传，并及时更新相关信息，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不断提高群众知晓率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 w14:paraId="02EAF79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3B9708FB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 w14:paraId="4561C73C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300A66DF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120" w:firstLineChars="160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裕民县政务服务中心</w:t>
      </w:r>
    </w:p>
    <w:p w14:paraId="266E2ED4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5440" w:firstLineChars="170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11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月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日</w:t>
      </w:r>
    </w:p>
    <w:p w14:paraId="3A5D0D3E"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3F250B90">
      <w:pPr>
        <w:pStyle w:val="7"/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after="0" w:line="52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49F8D12F"/>
    <w:sectPr>
      <w:footerReference r:id="rId3" w:type="default"/>
      <w:pgSz w:w="11906" w:h="16838"/>
      <w:pgMar w:top="2098" w:right="1474" w:bottom="1985" w:left="158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D28767-8D1D-48EA-AEA9-97E0E9A85E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74AFB98-189E-4BD6-8D49-5EDE58A48B7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09F480-EC79-493E-B5DA-E4594BA84F0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B14C0372-0DFF-46FB-9CE3-CCEB96DD1260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18AED743-A371-4149-8801-FE85A6FC3A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11CBE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732CA6D">
                          <w:pPr>
                            <w:pStyle w:val="4"/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732CA6D">
                    <w:pPr>
                      <w:pStyle w:val="4"/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</w:pP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>- 1 -</w:t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ascii="仿宋_GB2312" w:hAnsi="仿宋_GB2312" w:eastAsia="仿宋_GB2312" w:cs="仿宋_GB2312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0MzYxODJmNWM4YWFlOTE1NGQ2MjY4ZDJlNmJlMTQifQ=="/>
  </w:docVars>
  <w:rsids>
    <w:rsidRoot w:val="4B7A3B64"/>
    <w:rsid w:val="02FA62B2"/>
    <w:rsid w:val="1DC110E1"/>
    <w:rsid w:val="4B7A3B64"/>
    <w:rsid w:val="4D696F14"/>
    <w:rsid w:val="5B153622"/>
    <w:rsid w:val="5DB858CE"/>
    <w:rsid w:val="5E774D55"/>
    <w:rsid w:val="77CF2A6B"/>
    <w:rsid w:val="7A0C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ascii="仿宋" w:hAnsi="仿宋" w:cs="宋体"/>
      <w:color w:val="FF0000"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adjustRightInd w:val="0"/>
      <w:snapToGrid w:val="0"/>
      <w:spacing w:line="360" w:lineRule="auto"/>
      <w:ind w:firstLine="1279" w:firstLineChars="398"/>
    </w:pPr>
    <w:rPr>
      <w:rFonts w:ascii="仿宋_GB2312" w:hAnsi="Calibri" w:eastAsia="仿宋_GB2312" w:cs="Times New Roman"/>
      <w:b/>
      <w:bCs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adjustRightInd/>
      <w:snapToGrid/>
      <w:spacing w:after="120" w:line="240" w:lineRule="auto"/>
      <w:ind w:left="420" w:leftChars="200" w:firstLine="420" w:firstLineChars="200"/>
    </w:pPr>
    <w:rPr>
      <w:rFonts w:ascii="Times New Roman" w:hAnsi="Calibri" w:eastAsia="宋体" w:cs="Times New Roman"/>
      <w:b w:val="0"/>
      <w:bCs w:val="0"/>
      <w:sz w:val="21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customStyle="1" w:styleId="12">
    <w:name w:val="Style5"/>
    <w:basedOn w:val="1"/>
    <w:qFormat/>
    <w:uiPriority w:val="0"/>
    <w:pPr>
      <w:spacing w:line="605" w:lineRule="exact"/>
    </w:pPr>
    <w:rPr>
      <w:rFonts w:ascii="Calibri" w:hAnsi="Calibri"/>
    </w:rPr>
  </w:style>
  <w:style w:type="character" w:customStyle="1" w:styleId="13">
    <w:name w:val="Font Style31"/>
    <w:basedOn w:val="9"/>
    <w:qFormat/>
    <w:uiPriority w:val="0"/>
    <w:rPr>
      <w:rFonts w:ascii="宋体" w:eastAsia="宋体" w:cs="宋体"/>
      <w:b/>
      <w:bCs/>
      <w:sz w:val="22"/>
      <w:szCs w:val="22"/>
    </w:rPr>
  </w:style>
  <w:style w:type="character" w:customStyle="1" w:styleId="14">
    <w:name w:val=" Char Char Char1 Char Char"/>
    <w:basedOn w:val="9"/>
    <w:link w:val="15"/>
    <w:autoRedefine/>
    <w:qFormat/>
    <w:uiPriority w:val="0"/>
    <w:rPr>
      <w:rFonts w:ascii="Tahoma" w:hAnsi="Tahoma" w:eastAsia="微软雅黑" w:cs="Times New Roman"/>
      <w:kern w:val="0"/>
      <w:sz w:val="22"/>
      <w:szCs w:val="20"/>
      <w:lang w:val="en-US" w:eastAsia="zh-CN" w:bidi="ar-SA"/>
    </w:rPr>
  </w:style>
  <w:style w:type="paragraph" w:customStyle="1" w:styleId="15">
    <w:name w:val=" Char Char Char1 Char"/>
    <w:next w:val="3"/>
    <w:link w:val="14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4024</Words>
  <Characters>4140</Characters>
  <Lines>0</Lines>
  <Paragraphs>0</Paragraphs>
  <TotalTime>13</TotalTime>
  <ScaleCrop>false</ScaleCrop>
  <LinksUpToDate>false</LinksUpToDate>
  <CharactersWithSpaces>4146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2024-07-25T03:39:00Z</dcterms:created>
  <dc:creator>小驼</dc:creator>
  <cp:lastModifiedBy>sinner</cp:lastModifiedBy>
  <cp:lastPrinted>2024-08-27T08:32:00Z</cp:lastPrinted>
  <dcterms:modified xsi:type="dcterms:W3CDTF">2025-04-07T09:07:34Z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CE67DE086203497CB78D114F4388F404_13</vt:lpwstr>
  </property>
  <property fmtid="{D5CDD505-2E9C-101B-9397-08002B2CF9AE}" pid="4" name="KSOTemplateDocerSaveRecord">
    <vt:lpwstr>eyJoZGlkIjoiMDYzYjE5MGYzMzVkMDdiNTQ3M2EwODA5NDg5Mjc5MjEiLCJ1c2VySWQiOiI2NTY2MzQ2MDAifQ==</vt:lpwstr>
  </property>
</Properties>
</file>