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299C6">
      <w:pPr>
        <w:keepNext w:val="0"/>
        <w:keepLines w:val="0"/>
        <w:pageBreakBefore w:val="0"/>
        <w:widowControl w:val="0"/>
        <w:kinsoku/>
        <w:wordWrap/>
        <w:overflowPunct/>
        <w:topLinePunct w:val="0"/>
        <w:bidi w:val="0"/>
        <w:adjustRightInd/>
        <w:snapToGrid/>
        <w:spacing w:line="560" w:lineRule="exact"/>
        <w:ind w:right="0"/>
        <w:jc w:val="center"/>
        <w:textAlignment w:val="auto"/>
        <w:rPr>
          <w:rFonts w:ascii="Times New Roman" w:hAnsi="Times New Roman" w:eastAsia="方正小标宋简体" w:cs="方正小标宋简体"/>
          <w:sz w:val="44"/>
          <w:szCs w:val="44"/>
        </w:rPr>
      </w:pPr>
      <w:r>
        <w:rPr>
          <w:rFonts w:hint="eastAsia" w:ascii="Times New Roman" w:hAnsi="Times New Roman" w:eastAsia="方正小标宋简体" w:cs="方正小标宋简体"/>
          <w:bCs/>
          <w:sz w:val="44"/>
          <w:szCs w:val="44"/>
          <w:lang w:val="en-US" w:eastAsia="zh-CN"/>
        </w:rPr>
        <w:t>裕民县</w:t>
      </w:r>
      <w:r>
        <w:rPr>
          <w:rFonts w:hint="eastAsia" w:ascii="Times New Roman" w:hAnsi="Times New Roman" w:eastAsia="方正小标宋简体" w:cs="方正小标宋简体"/>
          <w:bCs/>
          <w:sz w:val="44"/>
          <w:szCs w:val="44"/>
        </w:rPr>
        <w:t>市场监督管理局</w:t>
      </w:r>
    </w:p>
    <w:p w14:paraId="530EAD65">
      <w:pPr>
        <w:pStyle w:val="4"/>
        <w:keepNext w:val="0"/>
        <w:keepLines w:val="0"/>
        <w:pageBreakBefore w:val="0"/>
        <w:widowControl w:val="0"/>
        <w:numPr>
          <w:ilvl w:val="0"/>
          <w:numId w:val="2"/>
        </w:numPr>
        <w:kinsoku/>
        <w:wordWrap/>
        <w:overflowPunct/>
        <w:topLinePunct w:val="0"/>
        <w:bidi w:val="0"/>
        <w:adjustRightInd/>
        <w:snapToGrid/>
        <w:spacing w:before="0" w:after="0" w:line="560" w:lineRule="exact"/>
        <w:ind w:right="0"/>
        <w:jc w:val="center"/>
        <w:textAlignment w:val="auto"/>
        <w:rPr>
          <w:rFonts w:eastAsia="方正小标宋简体" w:cs="方正小标宋简体"/>
          <w:sz w:val="44"/>
          <w:szCs w:val="44"/>
        </w:rPr>
      </w:pPr>
      <w:r>
        <w:rPr>
          <w:rFonts w:hint="eastAsia" w:eastAsia="方正小标宋简体" w:cs="方正小标宋简体"/>
          <w:sz w:val="44"/>
          <w:szCs w:val="44"/>
          <w:lang w:val="en-US"/>
        </w:rPr>
        <w:t>行政处罚告知书</w:t>
      </w:r>
    </w:p>
    <w:p w14:paraId="2D61C8EB">
      <w:pPr>
        <w:keepNext w:val="0"/>
        <w:keepLines w:val="0"/>
        <w:pageBreakBefore w:val="0"/>
        <w:widowControl w:val="0"/>
        <w:kinsoku/>
        <w:wordWrap/>
        <w:overflowPunct/>
        <w:topLinePunct w:val="0"/>
        <w:autoSpaceDE w:val="0"/>
        <w:autoSpaceDN w:val="0"/>
        <w:bidi w:val="0"/>
        <w:adjustRightInd/>
        <w:snapToGrid/>
        <w:spacing w:line="560" w:lineRule="exact"/>
        <w:ind w:right="0"/>
        <w:jc w:val="center"/>
        <w:textAlignment w:val="auto"/>
        <w:rPr>
          <w:rFonts w:hint="eastAsia" w:ascii="Times New Roman" w:hAnsi="Times New Roman" w:eastAsia="仿宋_GB2312"/>
          <w:sz w:val="32"/>
          <w:szCs w:val="32"/>
          <w:u w:val="none"/>
        </w:rPr>
      </w:pPr>
      <w:r>
        <w:rPr>
          <w:rFonts w:hint="eastAsia" w:ascii="Times New Roman" w:hAnsi="Times New Roman" w:eastAsia="仿宋_GB2312"/>
          <w:sz w:val="32"/>
          <w:szCs w:val="32"/>
          <w:u w:val="none"/>
          <w:lang w:val="en-US" w:eastAsia="zh-CN"/>
        </w:rPr>
        <w:t>塔裕</w:t>
      </w:r>
      <w:r>
        <w:rPr>
          <w:rFonts w:hint="eastAsia" w:ascii="Times New Roman" w:hAnsi="Times New Roman" w:eastAsia="仿宋_GB2312"/>
          <w:sz w:val="32"/>
          <w:szCs w:val="32"/>
          <w:u w:val="none"/>
        </w:rPr>
        <w:t>市监</w:t>
      </w:r>
      <w:r>
        <w:rPr>
          <w:rFonts w:hint="eastAsia" w:ascii="Times New Roman" w:hAnsi="Times New Roman" w:eastAsia="仿宋_GB2312"/>
          <w:sz w:val="32"/>
          <w:szCs w:val="32"/>
          <w:u w:val="none"/>
          <w:lang w:val="en-US" w:eastAsia="zh-CN"/>
        </w:rPr>
        <w:t>罚告</w:t>
      </w:r>
      <w:r>
        <w:rPr>
          <w:rFonts w:hint="eastAsia" w:ascii="Times New Roman" w:hAnsi="Times New Roman" w:eastAsia="仿宋_GB2312"/>
          <w:sz w:val="32"/>
          <w:szCs w:val="32"/>
          <w:u w:val="none"/>
        </w:rPr>
        <w:t>〔</w:t>
      </w:r>
      <w:r>
        <w:rPr>
          <w:rFonts w:hint="eastAsia" w:ascii="Times New Roman" w:hAnsi="Times New Roman" w:eastAsia="仿宋_GB2312"/>
          <w:sz w:val="32"/>
          <w:szCs w:val="32"/>
          <w:u w:val="none"/>
          <w:lang w:val="en-US" w:eastAsia="zh-CN"/>
        </w:rPr>
        <w:t>2024</w:t>
      </w:r>
      <w:r>
        <w:rPr>
          <w:rFonts w:hint="eastAsia" w:ascii="Times New Roman" w:hAnsi="Times New Roman" w:eastAsia="仿宋_GB2312"/>
          <w:sz w:val="32"/>
          <w:szCs w:val="32"/>
          <w:u w:val="none"/>
        </w:rPr>
        <w:t>〕</w:t>
      </w:r>
      <w:r>
        <w:rPr>
          <w:rFonts w:hint="eastAsia" w:ascii="Times New Roman" w:hAnsi="Times New Roman" w:eastAsia="仿宋_GB2312"/>
          <w:color w:val="auto"/>
          <w:sz w:val="32"/>
          <w:szCs w:val="32"/>
          <w:u w:val="none"/>
          <w:lang w:val="en-US" w:eastAsia="zh-CN"/>
        </w:rPr>
        <w:t>71</w:t>
      </w:r>
      <w:r>
        <w:rPr>
          <w:rFonts w:hint="eastAsia" w:ascii="Times New Roman" w:hAnsi="Times New Roman" w:eastAsia="仿宋_GB2312"/>
          <w:sz w:val="32"/>
          <w:szCs w:val="32"/>
          <w:u w:val="none"/>
        </w:rPr>
        <w:t>号</w:t>
      </w:r>
    </w:p>
    <w:p w14:paraId="1E58A861">
      <w:pPr>
        <w:pStyle w:val="2"/>
        <w:rPr>
          <w:rFonts w:hint="eastAsia"/>
        </w:rPr>
      </w:pPr>
    </w:p>
    <w:p w14:paraId="1DAE6C73">
      <w:pPr>
        <w:keepLines w:val="0"/>
        <w:pageBreakBefore w:val="0"/>
        <w:widowControl w:val="0"/>
        <w:numPr>
          <w:ilvl w:val="0"/>
          <w:numId w:val="0"/>
        </w:numPr>
        <w:kinsoku/>
        <w:wordWrap/>
        <w:overflowPunct/>
        <w:topLinePunct w:val="0"/>
        <w:bidi w:val="0"/>
        <w:adjustRightInd/>
        <w:snapToGrid/>
        <w:spacing w:line="540" w:lineRule="exact"/>
        <w:jc w:val="both"/>
        <w:textAlignment w:val="auto"/>
        <w:rPr>
          <w:rFonts w:ascii="Times New Roman" w:hAnsi="Times New Roman" w:eastAsia="仿宋_GB2312"/>
          <w:sz w:val="32"/>
          <w:szCs w:val="32"/>
          <w:u w:val="none"/>
        </w:rPr>
      </w:pPr>
      <w:r>
        <w:rPr>
          <w:rFonts w:hint="default" w:ascii="Times New Roman" w:hAnsi="Times New Roman" w:eastAsia="仿宋_GB2312" w:cs="Mongolian Baiti"/>
          <w:sz w:val="32"/>
          <w:szCs w:val="32"/>
          <w:u w:val="none"/>
          <w:lang w:val="en-US" w:eastAsia="zh-CN"/>
        </w:rPr>
        <w:t>裕民县天一红花种植专业合作社等</w:t>
      </w:r>
      <w:r>
        <w:rPr>
          <w:rFonts w:hint="eastAsia" w:ascii="Times New Roman" w:hAnsi="Times New Roman" w:eastAsia="仿宋_GB2312" w:cs="Mongolian Baiti"/>
          <w:sz w:val="32"/>
          <w:szCs w:val="32"/>
          <w:u w:val="none"/>
          <w:lang w:val="en-US" w:eastAsia="zh-CN"/>
        </w:rPr>
        <w:t>6</w:t>
      </w:r>
      <w:r>
        <w:rPr>
          <w:rFonts w:hint="default" w:ascii="Times New Roman" w:hAnsi="Times New Roman" w:eastAsia="仿宋_GB2312" w:cs="Mongolian Baiti"/>
          <w:sz w:val="32"/>
          <w:szCs w:val="32"/>
          <w:u w:val="none"/>
          <w:lang w:val="en-US" w:eastAsia="zh-CN"/>
        </w:rPr>
        <w:t>户</w:t>
      </w:r>
      <w:r>
        <w:rPr>
          <w:rFonts w:hint="eastAsia" w:ascii="Times New Roman" w:hAnsi="Times New Roman" w:eastAsia="仿宋_GB2312" w:cs="Mongolian Baiti"/>
          <w:sz w:val="32"/>
          <w:szCs w:val="32"/>
          <w:u w:val="none"/>
          <w:lang w:val="en-US" w:eastAsia="zh-CN"/>
        </w:rPr>
        <w:t>农民</w:t>
      </w:r>
      <w:r>
        <w:rPr>
          <w:rFonts w:hint="default" w:ascii="Times New Roman" w:hAnsi="Times New Roman" w:eastAsia="仿宋_GB2312" w:cs="Mongolian Baiti"/>
          <w:sz w:val="32"/>
          <w:szCs w:val="32"/>
          <w:u w:val="none"/>
          <w:lang w:val="en-US" w:eastAsia="zh-CN"/>
        </w:rPr>
        <w:t>专业合作</w:t>
      </w:r>
      <w:r>
        <w:rPr>
          <w:rFonts w:hint="eastAsia" w:ascii="Times New Roman" w:hAnsi="Times New Roman" w:eastAsia="仿宋_GB2312" w:cs="Mongolian Baiti"/>
          <w:sz w:val="32"/>
          <w:szCs w:val="32"/>
          <w:u w:val="none"/>
          <w:lang w:val="en-US" w:eastAsia="zh-CN"/>
        </w:rPr>
        <w:t>社（名单附后）：</w:t>
      </w:r>
    </w:p>
    <w:p w14:paraId="1B31DC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u w:val="none"/>
        </w:rPr>
      </w:pPr>
      <w:r>
        <w:rPr>
          <w:rFonts w:hint="eastAsia" w:ascii="Times New Roman" w:hAnsi="Times New Roman" w:eastAsia="仿宋_GB2312"/>
          <w:sz w:val="32"/>
          <w:szCs w:val="32"/>
          <w:u w:val="none"/>
        </w:rPr>
        <w:t>由本局立案调查你（</w:t>
      </w:r>
      <w:r>
        <w:rPr>
          <w:rFonts w:hint="default" w:ascii="Times New Roman" w:hAnsi="Times New Roman" w:eastAsia="仿宋_GB2312" w:cs="Mongolian Baiti"/>
          <w:sz w:val="32"/>
          <w:szCs w:val="32"/>
          <w:u w:val="none"/>
          <w:lang w:val="en-US" w:eastAsia="zh-CN"/>
        </w:rPr>
        <w:t>裕民县天一红花种植专业合作社等</w:t>
      </w:r>
      <w:r>
        <w:rPr>
          <w:rFonts w:hint="eastAsia" w:ascii="Times New Roman" w:hAnsi="Times New Roman" w:eastAsia="仿宋_GB2312" w:cs="Mongolian Baiti"/>
          <w:sz w:val="32"/>
          <w:szCs w:val="32"/>
          <w:u w:val="none"/>
          <w:lang w:val="en-US" w:eastAsia="zh-CN"/>
        </w:rPr>
        <w:t>6</w:t>
      </w:r>
      <w:r>
        <w:rPr>
          <w:rFonts w:hint="default" w:ascii="Times New Roman" w:hAnsi="Times New Roman" w:eastAsia="仿宋_GB2312" w:cs="Mongolian Baiti"/>
          <w:sz w:val="32"/>
          <w:szCs w:val="32"/>
          <w:u w:val="none"/>
          <w:lang w:val="en-US" w:eastAsia="zh-CN"/>
        </w:rPr>
        <w:t>户</w:t>
      </w:r>
      <w:r>
        <w:rPr>
          <w:rFonts w:hint="eastAsia" w:ascii="Times New Roman" w:hAnsi="Times New Roman" w:eastAsia="仿宋_GB2312" w:cs="Mongolian Baiti"/>
          <w:sz w:val="32"/>
          <w:szCs w:val="32"/>
          <w:u w:val="none"/>
          <w:lang w:val="en-US" w:eastAsia="zh-CN"/>
        </w:rPr>
        <w:t>农民</w:t>
      </w:r>
      <w:r>
        <w:rPr>
          <w:rFonts w:hint="default" w:ascii="Times New Roman" w:hAnsi="Times New Roman" w:eastAsia="仿宋_GB2312" w:cs="Mongolian Baiti"/>
          <w:sz w:val="32"/>
          <w:szCs w:val="32"/>
          <w:u w:val="none"/>
          <w:lang w:val="en-US" w:eastAsia="zh-CN"/>
        </w:rPr>
        <w:t>专业合作</w:t>
      </w:r>
      <w:r>
        <w:rPr>
          <w:rFonts w:hint="eastAsia" w:ascii="Times New Roman" w:hAnsi="Times New Roman" w:eastAsia="仿宋_GB2312" w:cs="Mongolian Baiti"/>
          <w:sz w:val="32"/>
          <w:szCs w:val="32"/>
          <w:u w:val="none"/>
          <w:lang w:val="en-US" w:eastAsia="zh-CN"/>
        </w:rPr>
        <w:t>社</w:t>
      </w:r>
      <w:r>
        <w:rPr>
          <w:rFonts w:hint="eastAsia" w:ascii="Times New Roman" w:hAnsi="Times New Roman" w:eastAsia="仿宋_GB2312"/>
          <w:sz w:val="32"/>
          <w:szCs w:val="32"/>
          <w:u w:val="none"/>
        </w:rPr>
        <w:t>）</w:t>
      </w:r>
      <w:r>
        <w:rPr>
          <w:rFonts w:hint="eastAsia" w:ascii="仿宋_GB2312" w:hAnsi="仿宋_GB2312" w:eastAsia="仿宋_GB2312" w:cs="仿宋_GB2312"/>
          <w:color w:val="00000A"/>
          <w:sz w:val="32"/>
          <w:szCs w:val="32"/>
          <w:u w:val="none"/>
          <w:lang w:val="en-US" w:eastAsia="zh-CN"/>
        </w:rPr>
        <w:t>已不在原地址经营不按规定申请办理变更登记</w:t>
      </w:r>
      <w:r>
        <w:rPr>
          <w:rFonts w:hint="eastAsia" w:ascii="Times New Roman" w:hAnsi="Times New Roman" w:eastAsia="仿宋_GB2312"/>
          <w:sz w:val="32"/>
          <w:szCs w:val="32"/>
          <w:u w:val="none"/>
          <w:lang w:val="en-US" w:eastAsia="zh-CN"/>
        </w:rPr>
        <w:t>一案</w:t>
      </w:r>
      <w:r>
        <w:rPr>
          <w:rFonts w:hint="eastAsia" w:ascii="Times New Roman" w:hAnsi="Times New Roman" w:eastAsia="仿宋_GB2312"/>
          <w:sz w:val="32"/>
          <w:szCs w:val="32"/>
          <w:u w:val="none"/>
        </w:rPr>
        <w:t>，已调查终结。</w:t>
      </w:r>
      <w:r>
        <w:rPr>
          <w:rFonts w:hint="eastAsia" w:ascii="Times New Roman" w:hAnsi="Times New Roman" w:eastAsia="仿宋_GB2312"/>
          <w:sz w:val="32"/>
          <w:szCs w:val="32"/>
          <w:u w:val="none"/>
          <w:lang w:val="en-US" w:eastAsia="zh-CN"/>
        </w:rPr>
        <w:t>依据《中华人民共和国行政处罚法》第四十四条的规定，</w:t>
      </w:r>
      <w:r>
        <w:rPr>
          <w:rFonts w:hint="eastAsia" w:ascii="Times New Roman" w:hAnsi="Times New Roman" w:eastAsia="仿宋_GB2312"/>
          <w:sz w:val="32"/>
          <w:szCs w:val="32"/>
          <w:u w:val="none"/>
        </w:rPr>
        <w:t>现将本局拟作出行政处罚的事实、理由、依据</w:t>
      </w:r>
      <w:r>
        <w:rPr>
          <w:rFonts w:hint="eastAsia" w:ascii="Times New Roman" w:hAnsi="Times New Roman" w:eastAsia="仿宋_GB2312"/>
          <w:sz w:val="32"/>
          <w:szCs w:val="32"/>
          <w:u w:val="none"/>
          <w:lang w:eastAsia="zh-CN"/>
        </w:rPr>
        <w:t>及处罚内容</w:t>
      </w:r>
      <w:r>
        <w:rPr>
          <w:rFonts w:hint="eastAsia" w:ascii="Times New Roman" w:hAnsi="Times New Roman" w:eastAsia="仿宋_GB2312"/>
          <w:sz w:val="32"/>
          <w:szCs w:val="32"/>
          <w:u w:val="none"/>
        </w:rPr>
        <w:t>告知如下：</w:t>
      </w:r>
    </w:p>
    <w:p w14:paraId="0EDC9FED">
      <w:pPr>
        <w:keepLines w:val="0"/>
        <w:pageBreakBefore w:val="0"/>
        <w:widowControl w:val="0"/>
        <w:numPr>
          <w:ilvl w:val="0"/>
          <w:numId w:val="0"/>
        </w:numPr>
        <w:kinsoku/>
        <w:wordWrap/>
        <w:overflowPunct/>
        <w:topLinePunct w:val="0"/>
        <w:bidi w:val="0"/>
        <w:adjustRightInd/>
        <w:snapToGrid/>
        <w:spacing w:line="540" w:lineRule="exact"/>
        <w:ind w:firstLine="640" w:firstLineChars="200"/>
        <w:jc w:val="both"/>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经查，6名当事人已不在原注册地址新疆塔城地区裕民县哈拉布拉乡南哈拉布拉村、察汗托海牧场库勒村、察汗托海牧场乔拉克加勒村、察汗托海牧场牧业三村、察汗托海牧场牧业一村、吉也克镇毕提坤村经营，当事人自成立后，2022年、2023年度在“国家企业信用信息公示系统（新疆）”报送年度报告公示信息的“企业经营状态”为“存续（歇业）”，裕民县天一红花种植专业合作社在税务机关进行营业纳税申报信息显示为：非正常状态（未按照规定期限申报纳税，且实地检查，查无下落的纳税人）；裕民县察汗托海牧场宇坤种养殖农民专业合作社在税务机关进行营业纳税申报信息显示为：非正常户注销状态（非正常满2年的纳税人）；裕民县庆丰种养殖农民专业合作社在税务机关进行营业纳税申报信息显示为：非正常户注销状态（非正常满2年的纳税人）；裕民县迪尔恰提骆驼养殖农民专业合作社在税务机关进行营业纳税申报信息显示为：非正常户注销状态（非正常满2年的纳税人）；裕民县哈力畜牧养殖农民专业合作社在税务机关进行营业纳税申报信息显示为：注销状态（已完成税务注销程序的纳税人）；裕民县马氏畜牧养殖农民专业合作社在税务机关进行营业纳税申报信息显示为：非正常户注销状态（非正常满2年的纳税人）。2024年9月12日我局依法向6名当事人送达了《责令改正通知书》《责令改正通知公告》（塔裕市监责改</w:t>
      </w:r>
      <w:r>
        <w:rPr>
          <w:rFonts w:hint="eastAsia" w:ascii="仿宋_GB2312" w:hAnsi="仿宋_GB2312" w:eastAsia="仿宋_GB2312" w:cs="仿宋_GB2312"/>
          <w:sz w:val="32"/>
          <w:szCs w:val="32"/>
          <w:highlight w:val="none"/>
          <w:lang w:val="en-US" w:eastAsia="zh-CN"/>
        </w:rPr>
        <w:t>〔2024〕17</w:t>
      </w:r>
      <w:r>
        <w:rPr>
          <w:rFonts w:hint="eastAsia" w:ascii="Times New Roman" w:hAnsi="Times New Roman" w:eastAsia="仿宋_GB2312" w:cs="仿宋_GB2312"/>
          <w:sz w:val="32"/>
          <w:szCs w:val="32"/>
          <w:highlight w:val="none"/>
          <w:lang w:val="en-US" w:eastAsia="zh-CN"/>
        </w:rPr>
        <w:t>号），责令期限办理变更登记，当事人逾期拒不办理。</w:t>
      </w:r>
    </w:p>
    <w:p w14:paraId="7503DB68">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hint="eastAsia" w:ascii="Times New Roman" w:hAnsi="Times New Roman" w:eastAsia="仿宋_GB2312" w:cs="Mongolian Baiti"/>
          <w:sz w:val="32"/>
          <w:szCs w:val="32"/>
          <w:u w:val="none"/>
          <w:lang w:val="en-US" w:eastAsia="zh-CN"/>
        </w:rPr>
      </w:pPr>
      <w:r>
        <w:rPr>
          <w:rFonts w:hint="eastAsia" w:ascii="Times New Roman" w:hAnsi="Times New Roman" w:eastAsia="仿宋_GB2312" w:cs="Mongolian Baiti"/>
          <w:sz w:val="32"/>
          <w:szCs w:val="32"/>
          <w:u w:val="none"/>
          <w:lang w:val="en-US" w:eastAsia="zh-CN"/>
        </w:rPr>
        <w:t>当事人的行为违反了《中华人民共和国市场主体登记管理条例》第三十一条“市场主体变更登记事项，应当自作出变更决议、决定或者法定变更事项发生之日起30日内申请办理变更登记。”的规定。属于已不在原地址经营不按规定申请办理变更登记的行为。</w:t>
      </w:r>
    </w:p>
    <w:p w14:paraId="1C268032">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hint="eastAsia"/>
        </w:rPr>
      </w:pPr>
      <w:r>
        <w:rPr>
          <w:rFonts w:hint="eastAsia" w:ascii="Times New Roman" w:hAnsi="Times New Roman" w:eastAsia="仿宋_GB2312" w:cs="Mongolian Baiti"/>
          <w:sz w:val="32"/>
          <w:szCs w:val="32"/>
          <w:u w:val="none"/>
          <w:lang w:val="en-US" w:eastAsia="zh-CN"/>
        </w:rPr>
        <w:t>依据《中华人民共和国市场主体登记管理条例》第七十二条“市场主体未按规定办理变更登记的，由登记机关责令改正；拒不改正的，处1万元以上10万元以下的罚款；情节严重的，吊销营业执照。”的规定，拟吊销你（</w:t>
      </w:r>
      <w:r>
        <w:rPr>
          <w:rFonts w:hint="default" w:ascii="Times New Roman" w:hAnsi="Times New Roman" w:eastAsia="仿宋_GB2312" w:cs="Mongolian Baiti"/>
          <w:sz w:val="32"/>
          <w:szCs w:val="32"/>
          <w:u w:val="none"/>
          <w:lang w:val="en-US" w:eastAsia="zh-CN"/>
        </w:rPr>
        <w:t>裕民县天一红花种植专业合作社等</w:t>
      </w:r>
      <w:r>
        <w:rPr>
          <w:rFonts w:hint="eastAsia" w:ascii="Times New Roman" w:hAnsi="Times New Roman" w:eastAsia="仿宋_GB2312" w:cs="Mongolian Baiti"/>
          <w:sz w:val="32"/>
          <w:szCs w:val="32"/>
          <w:u w:val="none"/>
          <w:lang w:val="en-US" w:eastAsia="zh-CN"/>
        </w:rPr>
        <w:t>6</w:t>
      </w:r>
      <w:r>
        <w:rPr>
          <w:rFonts w:hint="default" w:ascii="Times New Roman" w:hAnsi="Times New Roman" w:eastAsia="仿宋_GB2312" w:cs="Mongolian Baiti"/>
          <w:sz w:val="32"/>
          <w:szCs w:val="32"/>
          <w:u w:val="none"/>
          <w:lang w:val="en-US" w:eastAsia="zh-CN"/>
        </w:rPr>
        <w:t>户</w:t>
      </w:r>
      <w:r>
        <w:rPr>
          <w:rFonts w:hint="eastAsia" w:ascii="Times New Roman" w:hAnsi="Times New Roman" w:eastAsia="仿宋_GB2312" w:cs="Mongolian Baiti"/>
          <w:sz w:val="32"/>
          <w:szCs w:val="32"/>
          <w:u w:val="none"/>
          <w:lang w:val="en-US" w:eastAsia="zh-CN"/>
        </w:rPr>
        <w:t>农民</w:t>
      </w:r>
      <w:r>
        <w:rPr>
          <w:rFonts w:hint="default" w:ascii="Times New Roman" w:hAnsi="Times New Roman" w:eastAsia="仿宋_GB2312" w:cs="Mongolian Baiti"/>
          <w:sz w:val="32"/>
          <w:szCs w:val="32"/>
          <w:u w:val="none"/>
          <w:lang w:val="en-US" w:eastAsia="zh-CN"/>
        </w:rPr>
        <w:t>专业合作</w:t>
      </w:r>
      <w:r>
        <w:rPr>
          <w:rFonts w:hint="eastAsia" w:ascii="Times New Roman" w:hAnsi="Times New Roman" w:eastAsia="仿宋_GB2312" w:cs="Mongolian Baiti"/>
          <w:sz w:val="32"/>
          <w:szCs w:val="32"/>
          <w:u w:val="none"/>
          <w:lang w:val="en-US" w:eastAsia="zh-CN"/>
        </w:rPr>
        <w:t>社）的营业执照。</w:t>
      </w:r>
    </w:p>
    <w:p w14:paraId="0AD67791">
      <w:pPr>
        <w:pStyle w:val="2"/>
        <w:keepNext w:val="0"/>
        <w:keepLines w:val="0"/>
        <w:pageBreakBefore w:val="0"/>
        <w:widowControl w:val="0"/>
        <w:kinsoku/>
        <w:wordWrap/>
        <w:overflowPunct/>
        <w:topLinePunct w:val="0"/>
        <w:bidi w:val="0"/>
        <w:adjustRightInd/>
        <w:snapToGrid/>
        <w:spacing w:after="0" w:line="560" w:lineRule="exact"/>
        <w:ind w:leftChars="0"/>
        <w:rPr>
          <w:rFonts w:hint="eastAsia" w:ascii="Times New Roman" w:hAnsi="Times New Roman" w:eastAsia="仿宋_GB2312" w:cs="仿宋_GB2312"/>
          <w:bCs/>
          <w:sz w:val="32"/>
          <w:szCs w:val="32"/>
          <w:highlight w:val="none"/>
          <w:u w:val="none"/>
          <w:lang w:val="en-US" w:eastAsia="zh-CN"/>
        </w:rPr>
      </w:pPr>
      <w:r>
        <w:rPr>
          <w:rFonts w:hint="eastAsia" w:ascii="Times New Roman" w:hAnsi="Times New Roman" w:eastAsia="仿宋_GB2312" w:cs="仿宋_GB2312"/>
          <w:bCs/>
          <w:sz w:val="32"/>
          <w:szCs w:val="32"/>
          <w:highlight w:val="none"/>
          <w:u w:val="none"/>
          <w:lang w:val="en-US" w:eastAsia="zh-CN"/>
        </w:rPr>
        <w:t>依据《中华人民共和国行政处罚法》第四十四条、第四十五条，以及《市场监督管理行政处罚</w:t>
      </w:r>
      <w:r>
        <w:rPr>
          <w:rFonts w:hint="eastAsia" w:eastAsia="仿宋_GB2312" w:cs="仿宋_GB2312"/>
          <w:bCs/>
          <w:sz w:val="32"/>
          <w:szCs w:val="32"/>
          <w:highlight w:val="none"/>
          <w:u w:val="none"/>
          <w:lang w:val="en-US" w:eastAsia="zh-CN"/>
        </w:rPr>
        <w:t>程序规定</w:t>
      </w:r>
      <w:r>
        <w:rPr>
          <w:rFonts w:hint="eastAsia" w:ascii="Times New Roman" w:hAnsi="Times New Roman" w:eastAsia="仿宋_GB2312" w:cs="仿宋_GB2312"/>
          <w:bCs/>
          <w:sz w:val="32"/>
          <w:szCs w:val="32"/>
          <w:highlight w:val="none"/>
          <w:u w:val="none"/>
          <w:lang w:val="en-US" w:eastAsia="zh-CN"/>
        </w:rPr>
        <w:t>》第五</w:t>
      </w:r>
      <w:r>
        <w:rPr>
          <w:rFonts w:hint="eastAsia" w:eastAsia="仿宋_GB2312" w:cs="仿宋_GB2312"/>
          <w:bCs/>
          <w:sz w:val="32"/>
          <w:szCs w:val="32"/>
          <w:highlight w:val="none"/>
          <w:u w:val="none"/>
          <w:lang w:val="en-US" w:eastAsia="zh-CN"/>
        </w:rPr>
        <w:t>十七</w:t>
      </w:r>
      <w:r>
        <w:rPr>
          <w:rFonts w:hint="eastAsia" w:ascii="Times New Roman" w:hAnsi="Times New Roman" w:eastAsia="仿宋_GB2312" w:cs="仿宋_GB2312"/>
          <w:bCs/>
          <w:sz w:val="32"/>
          <w:szCs w:val="32"/>
          <w:highlight w:val="none"/>
          <w:u w:val="none"/>
          <w:lang w:val="en-US" w:eastAsia="zh-CN"/>
        </w:rPr>
        <w:t>条的规定，你（</w:t>
      </w:r>
      <w:r>
        <w:rPr>
          <w:rFonts w:hint="default" w:ascii="Times New Roman" w:hAnsi="Times New Roman" w:eastAsia="仿宋_GB2312" w:cs="Mongolian Baiti"/>
          <w:sz w:val="32"/>
          <w:szCs w:val="32"/>
          <w:u w:val="none"/>
          <w:lang w:val="en-US" w:eastAsia="zh-CN"/>
        </w:rPr>
        <w:t>裕民县天一红花种植专业合作社等</w:t>
      </w:r>
      <w:r>
        <w:rPr>
          <w:rFonts w:hint="eastAsia" w:ascii="Times New Roman" w:hAnsi="Times New Roman" w:eastAsia="仿宋_GB2312" w:cs="Mongolian Baiti"/>
          <w:sz w:val="32"/>
          <w:szCs w:val="32"/>
          <w:u w:val="none"/>
          <w:lang w:val="en-US" w:eastAsia="zh-CN"/>
        </w:rPr>
        <w:t>6</w:t>
      </w:r>
      <w:r>
        <w:rPr>
          <w:rFonts w:hint="default" w:ascii="Times New Roman" w:hAnsi="Times New Roman" w:eastAsia="仿宋_GB2312" w:cs="Mongolian Baiti"/>
          <w:sz w:val="32"/>
          <w:szCs w:val="32"/>
          <w:u w:val="none"/>
          <w:lang w:val="en-US" w:eastAsia="zh-CN"/>
        </w:rPr>
        <w:t>户</w:t>
      </w:r>
      <w:r>
        <w:rPr>
          <w:rFonts w:hint="eastAsia" w:eastAsia="仿宋_GB2312" w:cs="Mongolian Baiti"/>
          <w:sz w:val="32"/>
          <w:szCs w:val="32"/>
          <w:u w:val="none"/>
          <w:lang w:val="en-US" w:eastAsia="zh-CN"/>
        </w:rPr>
        <w:t>农民</w:t>
      </w:r>
      <w:r>
        <w:rPr>
          <w:rFonts w:hint="default" w:ascii="Times New Roman" w:hAnsi="Times New Roman" w:eastAsia="仿宋_GB2312" w:cs="Mongolian Baiti"/>
          <w:sz w:val="32"/>
          <w:szCs w:val="32"/>
          <w:u w:val="none"/>
          <w:lang w:val="en-US" w:eastAsia="zh-CN"/>
        </w:rPr>
        <w:t>专业合作</w:t>
      </w:r>
      <w:r>
        <w:rPr>
          <w:rFonts w:hint="eastAsia" w:ascii="Times New Roman" w:hAnsi="Times New Roman" w:eastAsia="仿宋_GB2312" w:cs="Mongolian Baiti"/>
          <w:sz w:val="32"/>
          <w:szCs w:val="32"/>
          <w:u w:val="none"/>
          <w:lang w:val="en-US" w:eastAsia="zh-CN"/>
        </w:rPr>
        <w:t>社</w:t>
      </w:r>
      <w:r>
        <w:rPr>
          <w:rFonts w:hint="eastAsia" w:ascii="Times New Roman" w:hAnsi="Times New Roman" w:eastAsia="仿宋_GB2312" w:cs="仿宋_GB2312"/>
          <w:bCs/>
          <w:sz w:val="32"/>
          <w:szCs w:val="32"/>
          <w:highlight w:val="none"/>
          <w:u w:val="none"/>
          <w:lang w:val="en-US" w:eastAsia="zh-CN"/>
        </w:rPr>
        <w:t>）有权进行陈述、申辩。自收到本告知书之日起五个工作日内未行使陈述、申辩权</w:t>
      </w:r>
      <w:r>
        <w:rPr>
          <w:rFonts w:hint="eastAsia" w:eastAsia="仿宋_GB2312" w:cs="仿宋_GB2312"/>
          <w:bCs/>
          <w:sz w:val="32"/>
          <w:szCs w:val="32"/>
          <w:highlight w:val="none"/>
          <w:u w:val="none"/>
          <w:lang w:val="en-US" w:eastAsia="zh-CN"/>
        </w:rPr>
        <w:t>，</w:t>
      </w:r>
      <w:r>
        <w:rPr>
          <w:rFonts w:hint="eastAsia" w:ascii="Times New Roman" w:hAnsi="Times New Roman" w:eastAsia="仿宋_GB2312" w:cs="仿宋_GB2312"/>
          <w:bCs/>
          <w:sz w:val="32"/>
          <w:szCs w:val="32"/>
          <w:highlight w:val="none"/>
          <w:u w:val="none"/>
          <w:lang w:val="en-US" w:eastAsia="zh-CN"/>
        </w:rPr>
        <w:t>视为放弃此权利。</w:t>
      </w:r>
    </w:p>
    <w:p w14:paraId="61ED972C">
      <w:pPr>
        <w:rPr>
          <w:rFonts w:hint="default"/>
          <w:lang w:val="en-US" w:eastAsia="zh-CN"/>
        </w:rPr>
      </w:pPr>
      <w:r>
        <w:rPr>
          <w:rFonts w:hint="eastAsia" w:ascii="Times New Roman" w:hAnsi="Times New Roman" w:eastAsia="仿宋_GB2312" w:cs="仿宋_GB2312"/>
          <w:bCs/>
          <w:sz w:val="32"/>
          <w:szCs w:val="32"/>
          <w:highlight w:val="none"/>
          <w:u w:val="none"/>
          <w:lang w:val="en-US" w:eastAsia="zh-CN"/>
        </w:rPr>
        <w:t xml:space="preserve">    依据《中华人民共和国行政处罚法》第四十四条、第四十五条、第六十三条、第六十四条第一项，以及《市场监督管理行政处罚听证办法》第五条的规定，你（</w:t>
      </w:r>
      <w:r>
        <w:rPr>
          <w:rFonts w:hint="default" w:ascii="Times New Roman" w:hAnsi="Times New Roman" w:eastAsia="仿宋_GB2312" w:cs="Mongolian Baiti"/>
          <w:sz w:val="32"/>
          <w:szCs w:val="32"/>
          <w:u w:val="none"/>
          <w:lang w:val="en-US" w:eastAsia="zh-CN"/>
        </w:rPr>
        <w:t>裕民县天一红花种植专业合作社等</w:t>
      </w:r>
      <w:r>
        <w:rPr>
          <w:rFonts w:hint="eastAsia" w:ascii="Times New Roman" w:hAnsi="Times New Roman" w:eastAsia="仿宋_GB2312" w:cs="Mongolian Baiti"/>
          <w:sz w:val="32"/>
          <w:szCs w:val="32"/>
          <w:u w:val="none"/>
          <w:lang w:val="en-US" w:eastAsia="zh-CN"/>
        </w:rPr>
        <w:t>6</w:t>
      </w:r>
      <w:r>
        <w:rPr>
          <w:rFonts w:hint="default" w:ascii="Times New Roman" w:hAnsi="Times New Roman" w:eastAsia="仿宋_GB2312" w:cs="Mongolian Baiti"/>
          <w:sz w:val="32"/>
          <w:szCs w:val="32"/>
          <w:u w:val="none"/>
          <w:lang w:val="en-US" w:eastAsia="zh-CN"/>
        </w:rPr>
        <w:t>户</w:t>
      </w:r>
      <w:r>
        <w:rPr>
          <w:rFonts w:hint="eastAsia" w:eastAsia="仿宋_GB2312" w:cs="Mongolian Baiti"/>
          <w:sz w:val="32"/>
          <w:szCs w:val="32"/>
          <w:u w:val="none"/>
          <w:lang w:val="en-US" w:eastAsia="zh-CN"/>
        </w:rPr>
        <w:t>农民</w:t>
      </w:r>
      <w:r>
        <w:rPr>
          <w:rFonts w:hint="default" w:ascii="Times New Roman" w:hAnsi="Times New Roman" w:eastAsia="仿宋_GB2312" w:cs="Mongolian Baiti"/>
          <w:sz w:val="32"/>
          <w:szCs w:val="32"/>
          <w:u w:val="none"/>
          <w:lang w:val="en-US" w:eastAsia="zh-CN"/>
        </w:rPr>
        <w:t>专业合作</w:t>
      </w:r>
      <w:r>
        <w:rPr>
          <w:rFonts w:hint="eastAsia" w:ascii="Times New Roman" w:hAnsi="Times New Roman" w:eastAsia="仿宋_GB2312" w:cs="Mongolian Baiti"/>
          <w:sz w:val="32"/>
          <w:szCs w:val="32"/>
          <w:u w:val="none"/>
          <w:lang w:val="en-US" w:eastAsia="zh-CN"/>
        </w:rPr>
        <w:t>社</w:t>
      </w:r>
      <w:r>
        <w:rPr>
          <w:rFonts w:hint="eastAsia" w:ascii="Times New Roman" w:hAnsi="Times New Roman" w:eastAsia="仿宋_GB2312" w:cs="仿宋_GB2312"/>
          <w:bCs/>
          <w:sz w:val="32"/>
          <w:szCs w:val="32"/>
          <w:highlight w:val="none"/>
          <w:u w:val="none"/>
          <w:lang w:val="en-US" w:eastAsia="zh-CN"/>
        </w:rPr>
        <w:t>）有权进行陈述、申辩，并可以要求听证。自收到本告知书之日起五个工作日内未行使陈述、申辩权</w:t>
      </w:r>
      <w:r>
        <w:rPr>
          <w:rFonts w:hint="eastAsia" w:eastAsia="仿宋_GB2312" w:cs="仿宋_GB2312"/>
          <w:bCs/>
          <w:sz w:val="32"/>
          <w:szCs w:val="32"/>
          <w:highlight w:val="none"/>
          <w:u w:val="none"/>
          <w:lang w:val="en-US" w:eastAsia="zh-CN"/>
        </w:rPr>
        <w:t>，未要求听证的，视为放弃此权利。</w:t>
      </w:r>
    </w:p>
    <w:p w14:paraId="6F45AD7B">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Times New Roman" w:hAnsi="Times New Roman" w:eastAsia="仿宋_GB2312"/>
          <w:sz w:val="32"/>
          <w:szCs w:val="32"/>
          <w:u w:val="none"/>
          <w:lang w:val="en-US" w:eastAsia="zh-CN"/>
        </w:rPr>
      </w:pPr>
      <w:r>
        <w:rPr>
          <w:rFonts w:hint="eastAsia" w:ascii="Times New Roman" w:hAnsi="Times New Roman" w:eastAsia="仿宋_GB2312"/>
          <w:sz w:val="32"/>
          <w:szCs w:val="32"/>
          <w:u w:val="none"/>
        </w:rPr>
        <w:t>联系人：</w:t>
      </w:r>
      <w:r>
        <w:rPr>
          <w:rFonts w:hint="eastAsia" w:ascii="Times New Roman" w:hAnsi="Times New Roman" w:eastAsia="仿宋_GB2312"/>
          <w:sz w:val="32"/>
          <w:szCs w:val="32"/>
          <w:u w:val="none"/>
          <w:lang w:val="en-US" w:eastAsia="zh-CN"/>
        </w:rPr>
        <w:t xml:space="preserve">李孟聪、牛江平    </w:t>
      </w:r>
      <w:r>
        <w:rPr>
          <w:rFonts w:hint="eastAsia" w:ascii="Times New Roman" w:hAnsi="Times New Roman" w:eastAsia="仿宋_GB2312"/>
          <w:sz w:val="32"/>
          <w:szCs w:val="32"/>
          <w:u w:val="none"/>
        </w:rPr>
        <w:t>联系电话：</w:t>
      </w:r>
      <w:r>
        <w:rPr>
          <w:rFonts w:hint="eastAsia" w:ascii="Times New Roman" w:hAnsi="Times New Roman" w:eastAsia="仿宋_GB2312"/>
          <w:sz w:val="32"/>
          <w:szCs w:val="32"/>
          <w:u w:val="none"/>
          <w:lang w:val="en-US" w:eastAsia="zh-CN"/>
        </w:rPr>
        <w:t>0901-6722306</w:t>
      </w:r>
    </w:p>
    <w:p w14:paraId="6B78317B">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Times New Roman" w:hAnsi="Times New Roman" w:eastAsia="仿宋_GB2312"/>
          <w:sz w:val="32"/>
          <w:szCs w:val="32"/>
          <w:u w:val="none"/>
          <w:lang w:val="en-US" w:eastAsia="zh-CN"/>
        </w:rPr>
      </w:pPr>
      <w:r>
        <w:rPr>
          <w:rFonts w:hint="eastAsia" w:ascii="Times New Roman" w:hAnsi="Times New Roman" w:eastAsia="仿宋_GB2312"/>
          <w:sz w:val="32"/>
          <w:szCs w:val="32"/>
          <w:u w:val="none"/>
          <w:lang w:val="en-US" w:eastAsia="zh-CN"/>
        </w:rPr>
        <w:t>联系地址：裕民县巴尔鲁克西路3号</w:t>
      </w:r>
    </w:p>
    <w:p w14:paraId="60CBC60C">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default" w:ascii="Times New Roman" w:hAnsi="Times New Roman" w:eastAsia="仿宋_GB2312"/>
          <w:sz w:val="32"/>
          <w:szCs w:val="32"/>
          <w:u w:val="none"/>
          <w:lang w:val="en-US" w:eastAsia="zh-CN"/>
        </w:rPr>
      </w:pPr>
      <w:r>
        <w:rPr>
          <w:rFonts w:hint="eastAsia" w:ascii="Times New Roman" w:hAnsi="Times New Roman" w:eastAsia="仿宋_GB2312"/>
          <w:sz w:val="32"/>
          <w:szCs w:val="32"/>
          <w:u w:val="none"/>
          <w:lang w:val="en-US" w:eastAsia="zh-CN"/>
        </w:rPr>
        <w:t>附：</w:t>
      </w:r>
      <w:r>
        <w:rPr>
          <w:rFonts w:hint="default" w:ascii="Times New Roman" w:hAnsi="Times New Roman" w:eastAsia="仿宋_GB2312" w:cs="Mongolian Baiti"/>
          <w:sz w:val="32"/>
          <w:szCs w:val="32"/>
          <w:u w:val="none"/>
          <w:lang w:val="en-US" w:eastAsia="zh-CN"/>
        </w:rPr>
        <w:t>裕民县天一红花种植专业合作社等</w:t>
      </w:r>
      <w:r>
        <w:rPr>
          <w:rFonts w:hint="eastAsia" w:ascii="Times New Roman" w:hAnsi="Times New Roman" w:eastAsia="仿宋_GB2312" w:cs="Mongolian Baiti"/>
          <w:sz w:val="32"/>
          <w:szCs w:val="32"/>
          <w:u w:val="none"/>
          <w:lang w:val="en-US" w:eastAsia="zh-CN"/>
        </w:rPr>
        <w:t>6</w:t>
      </w:r>
      <w:r>
        <w:rPr>
          <w:rFonts w:hint="default" w:ascii="Times New Roman" w:hAnsi="Times New Roman" w:eastAsia="仿宋_GB2312" w:cs="Mongolian Baiti"/>
          <w:sz w:val="32"/>
          <w:szCs w:val="32"/>
          <w:u w:val="none"/>
          <w:lang w:val="en-US" w:eastAsia="zh-CN"/>
        </w:rPr>
        <w:t>户</w:t>
      </w:r>
      <w:r>
        <w:rPr>
          <w:rFonts w:hint="eastAsia" w:ascii="Times New Roman" w:hAnsi="Times New Roman" w:eastAsia="仿宋_GB2312" w:cs="Mongolian Baiti"/>
          <w:sz w:val="32"/>
          <w:szCs w:val="32"/>
          <w:u w:val="none"/>
          <w:lang w:val="en-US" w:eastAsia="zh-CN"/>
        </w:rPr>
        <w:t>企业名单</w:t>
      </w:r>
    </w:p>
    <w:p w14:paraId="523A00A1">
      <w:pPr>
        <w:keepNext w:val="0"/>
        <w:keepLines w:val="0"/>
        <w:pageBreakBefore w:val="0"/>
        <w:widowControl w:val="0"/>
        <w:kinsoku/>
        <w:wordWrap/>
        <w:overflowPunct/>
        <w:topLinePunct w:val="0"/>
        <w:autoSpaceDE w:val="0"/>
        <w:autoSpaceDN w:val="0"/>
        <w:bidi w:val="0"/>
        <w:adjustRightInd/>
        <w:snapToGrid/>
        <w:spacing w:line="560" w:lineRule="exact"/>
        <w:ind w:right="0"/>
        <w:textAlignment w:val="auto"/>
        <w:rPr>
          <w:rFonts w:hint="eastAsia" w:ascii="Times New Roman" w:hAnsi="Times New Roman" w:eastAsia="仿宋_GB2312"/>
          <w:sz w:val="32"/>
          <w:szCs w:val="32"/>
          <w:u w:val="none"/>
          <w:lang w:val="en-US" w:eastAsia="zh-CN"/>
        </w:rPr>
      </w:pPr>
    </w:p>
    <w:p w14:paraId="60F11B2A">
      <w:pPr>
        <w:pStyle w:val="2"/>
        <w:rPr>
          <w:rFonts w:hint="eastAsia" w:ascii="Times New Roman" w:hAnsi="Times New Roman" w:eastAsia="仿宋_GB2312"/>
          <w:sz w:val="32"/>
          <w:szCs w:val="32"/>
          <w:u w:val="none"/>
          <w:lang w:val="en-US" w:eastAsia="zh-CN"/>
        </w:rPr>
      </w:pPr>
    </w:p>
    <w:p w14:paraId="2FC02211">
      <w:pPr>
        <w:rPr>
          <w:rFonts w:hint="eastAsia" w:ascii="Times New Roman" w:hAnsi="Times New Roman" w:eastAsia="仿宋_GB2312"/>
          <w:sz w:val="32"/>
          <w:szCs w:val="32"/>
          <w:u w:val="none"/>
          <w:lang w:val="en-US" w:eastAsia="zh-CN"/>
        </w:rPr>
      </w:pPr>
    </w:p>
    <w:p w14:paraId="0A9C517E">
      <w:pPr>
        <w:pStyle w:val="2"/>
        <w:rPr>
          <w:rFonts w:hint="eastAsia" w:ascii="Times New Roman" w:hAnsi="Times New Roman" w:eastAsia="仿宋_GB2312"/>
          <w:sz w:val="32"/>
          <w:szCs w:val="32"/>
          <w:u w:val="none"/>
          <w:lang w:val="en-US" w:eastAsia="zh-CN"/>
        </w:rPr>
      </w:pPr>
    </w:p>
    <w:p w14:paraId="149592E1">
      <w:pPr>
        <w:rPr>
          <w:rFonts w:hint="eastAsia" w:ascii="Times New Roman" w:hAnsi="Times New Roman" w:eastAsia="仿宋_GB2312"/>
          <w:sz w:val="32"/>
          <w:szCs w:val="32"/>
          <w:u w:val="none"/>
          <w:lang w:val="en-US" w:eastAsia="zh-CN"/>
        </w:rPr>
      </w:pPr>
    </w:p>
    <w:p w14:paraId="6E2EA2AD">
      <w:pPr>
        <w:pStyle w:val="2"/>
        <w:rPr>
          <w:rFonts w:hint="eastAsia" w:ascii="Times New Roman" w:hAnsi="Times New Roman" w:eastAsia="仿宋_GB2312"/>
          <w:sz w:val="32"/>
          <w:szCs w:val="32"/>
          <w:u w:val="none"/>
          <w:lang w:val="en-US" w:eastAsia="zh-CN"/>
        </w:rPr>
      </w:pPr>
    </w:p>
    <w:p w14:paraId="31F5D130">
      <w:pPr>
        <w:rPr>
          <w:rFonts w:hint="eastAsia"/>
          <w:lang w:val="en-US" w:eastAsia="zh-CN"/>
        </w:rPr>
      </w:pPr>
    </w:p>
    <w:p w14:paraId="6673C834">
      <w:pPr>
        <w:rPr>
          <w:rFonts w:hint="eastAsia"/>
          <w:lang w:val="en-US" w:eastAsia="zh-CN"/>
        </w:rPr>
      </w:pPr>
    </w:p>
    <w:p w14:paraId="14AE3144">
      <w:pPr>
        <w:keepNext w:val="0"/>
        <w:keepLines w:val="0"/>
        <w:pageBreakBefore w:val="0"/>
        <w:widowControl w:val="0"/>
        <w:kinsoku/>
        <w:wordWrap/>
        <w:overflowPunct/>
        <w:topLinePunct w:val="0"/>
        <w:autoSpaceDE w:val="0"/>
        <w:autoSpaceDN w:val="0"/>
        <w:bidi w:val="0"/>
        <w:adjustRightInd/>
        <w:snapToGrid/>
        <w:spacing w:line="560" w:lineRule="exact"/>
        <w:ind w:right="0" w:firstLine="601"/>
        <w:jc w:val="center"/>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rPr>
        <w:t xml:space="preserve">     </w:t>
      </w:r>
      <w:r>
        <w:rPr>
          <w:rFonts w:hint="eastAsia" w:ascii="Times New Roman" w:hAnsi="Times New Roman" w:eastAsia="仿宋_GB2312"/>
          <w:color w:val="000000"/>
          <w:sz w:val="32"/>
          <w:szCs w:val="32"/>
          <w:lang w:val="en-US" w:eastAsia="zh-CN"/>
        </w:rPr>
        <w:t>裕民县</w:t>
      </w:r>
      <w:r>
        <w:rPr>
          <w:rFonts w:hint="eastAsia" w:ascii="Times New Roman" w:hAnsi="Times New Roman" w:eastAsia="仿宋_GB2312"/>
          <w:color w:val="000000"/>
          <w:sz w:val="32"/>
          <w:szCs w:val="32"/>
        </w:rPr>
        <w:t>市场监督管理局</w:t>
      </w:r>
    </w:p>
    <w:p w14:paraId="5C758039">
      <w:pPr>
        <w:keepNext w:val="0"/>
        <w:keepLines w:val="0"/>
        <w:pageBreakBefore w:val="0"/>
        <w:widowControl w:val="0"/>
        <w:kinsoku/>
        <w:wordWrap/>
        <w:overflowPunct/>
        <w:topLinePunct w:val="0"/>
        <w:autoSpaceDE w:val="0"/>
        <w:autoSpaceDN w:val="0"/>
        <w:bidi w:val="0"/>
        <w:adjustRightInd/>
        <w:snapToGrid/>
        <w:spacing w:line="560" w:lineRule="exact"/>
        <w:ind w:right="0" w:firstLine="601"/>
        <w:jc w:val="center"/>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rPr>
        <w:t xml:space="preserve">   </w:t>
      </w:r>
      <w:r>
        <w:rPr>
          <w:rFonts w:hint="eastAsia" w:ascii="Times New Roman" w:hAnsi="Times New Roman" w:eastAsia="仿宋_GB2312"/>
          <w:color w:val="000000"/>
          <w:sz w:val="32"/>
          <w:szCs w:val="32"/>
        </w:rPr>
        <w:t>（印 章）</w:t>
      </w:r>
      <w:r>
        <w:rPr>
          <w:rFonts w:hint="eastAsia" w:ascii="Times New Roman" w:hAnsi="Times New Roman" w:eastAsia="仿宋_GB2312"/>
          <w:color w:val="000000"/>
          <w:sz w:val="32"/>
          <w:szCs w:val="32"/>
          <w:lang w:val="en-US" w:eastAsia="zh-CN"/>
        </w:rPr>
        <w:t xml:space="preserve"> </w:t>
      </w:r>
    </w:p>
    <w:p w14:paraId="5C18D761">
      <w:pPr>
        <w:keepNext w:val="0"/>
        <w:keepLines w:val="0"/>
        <w:pageBreakBefore w:val="0"/>
        <w:widowControl w:val="0"/>
        <w:kinsoku/>
        <w:wordWrap/>
        <w:overflowPunct/>
        <w:topLinePunct w:val="0"/>
        <w:autoSpaceDE w:val="0"/>
        <w:autoSpaceDN w:val="0"/>
        <w:bidi w:val="0"/>
        <w:adjustRightInd/>
        <w:snapToGrid/>
        <w:spacing w:line="560" w:lineRule="exact"/>
        <w:ind w:right="0" w:firstLine="600"/>
        <w:jc w:val="center"/>
        <w:textAlignment w:val="auto"/>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二〇二四年十一月十二</w:t>
      </w:r>
      <w:bookmarkStart w:id="0" w:name="_GoBack"/>
      <w:bookmarkEnd w:id="0"/>
      <w:r>
        <w:rPr>
          <w:rFonts w:hint="eastAsia" w:ascii="Times New Roman" w:hAnsi="Times New Roman" w:eastAsia="仿宋_GB2312"/>
          <w:color w:val="000000"/>
          <w:sz w:val="32"/>
          <w:szCs w:val="32"/>
          <w:lang w:val="en-US" w:eastAsia="zh-CN"/>
        </w:rPr>
        <w:t>日</w:t>
      </w:r>
    </w:p>
    <w:p w14:paraId="076A408F">
      <w:pPr>
        <w:keepNext w:val="0"/>
        <w:keepLines w:val="0"/>
        <w:pageBreakBefore w:val="0"/>
        <w:widowControl w:val="0"/>
        <w:kinsoku/>
        <w:wordWrap/>
        <w:overflowPunct/>
        <w:topLinePunct w:val="0"/>
        <w:autoSpaceDE/>
        <w:autoSpaceDN/>
        <w:bidi w:val="0"/>
        <w:adjustRightInd w:val="0"/>
        <w:snapToGrid w:val="0"/>
        <w:spacing w:line="560" w:lineRule="exact"/>
        <w:ind w:left="0" w:right="0"/>
        <w:textAlignment w:val="auto"/>
        <w:rPr>
          <w:rFonts w:ascii="Times New Roman" w:hAnsi="Times New Roman" w:eastAsia="仿宋_GB2312" w:cs="仿宋_GB2312"/>
          <w:bCs/>
          <w:color w:val="000000"/>
          <w:sz w:val="32"/>
          <w:szCs w:val="32"/>
        </w:rPr>
      </w:pPr>
      <w:r>
        <w:rPr>
          <w:rFonts w:hint="eastAsia" w:ascii="Times New Roman" w:hAnsi="Times New Roman" w:eastAsia="仿宋_GB2312" w:cs="仿宋_GB2312"/>
          <w:sz w:val="32"/>
        </w:rPr>
        <mc:AlternateContent>
          <mc:Choice Requires="wps">
            <w:drawing>
              <wp:anchor distT="0" distB="0" distL="0" distR="0" simplePos="0" relativeHeight="251660288" behindDoc="0" locked="0" layoutInCell="1" allowOverlap="1">
                <wp:simplePos x="0" y="0"/>
                <wp:positionH relativeFrom="column">
                  <wp:posOffset>-161290</wp:posOffset>
                </wp:positionH>
                <wp:positionV relativeFrom="paragraph">
                  <wp:posOffset>316865</wp:posOffset>
                </wp:positionV>
                <wp:extent cx="5550535" cy="635"/>
                <wp:effectExtent l="0" t="7620" r="12065" b="14605"/>
                <wp:wrapNone/>
                <wp:docPr id="1028" name="直接连接符 3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31" o:spid="_x0000_s1026" o:spt="20" style="position:absolute;left:0pt;margin-left:-12.7pt;margin-top:24.95pt;height:0.05pt;width:437.05pt;z-index:251660288;mso-width-relative:page;mso-height-relative:page;" filled="f" stroked="t" coordsize="21600,21600" o:gfxdata="UEsDBAoAAAAAAIdO4kAAAAAAAAAAAAAAAAAEAAAAZHJzL1BLAwQUAAAACACHTuJAwBz8CtoAAAAJ&#10;AQAADwAAAGRycy9kb3ducmV2LnhtbE2Py27CMBBF95X6D9YgdQc2KDQhzQRVSJW6KRW0H2DiIYmI&#10;x1FsHuHr667a5ege3XumWN9sJy40+NYxwnymQBBXzrRcI3x/vU0zED5oNrpzTAgjeViXjw+Fzo27&#10;8o4u+1CLWMI+1whNCH0upa8astrPXE8cs6MbrA7xHGppBn2N5baTC6WepdUtx4VG97RpqDrtzxZh&#10;t3Hb9LVPPt+34eOY3u8jVfWI+DSZqxcQgW7hD4Zf/agOZXQ6uDMbLzqE6WKZRBQhWa1ARCBLshTE&#10;AWGpFMiykP8/KH8AUEsDBBQAAAAIAIdO4kB4aG8V9AEAAOkDAAAOAAAAZHJzL2Uyb0RvYy54bWyt&#10;U0uOEzEQ3SNxB8t70p2Mehi1ksxiwrBBMBJwgIrtTlvyTy4nnVyCCyCxgxVL9tyG4RiU3SEDwyYL&#10;euEu1+e53nN5fr23hu1URO3dgk8nNWfKCS+12yz4+3e3z644wwROgvFOLfhBIb9ePn0yH0KrZr73&#10;RqrICMRhO4QF71MKbVWh6JUFnPigHAU7Hy0k2sZNJSMMhG5NNavry2rwUYbohUIk72oM8iNiPAfQ&#10;d50WauXF1iqXRtSoDCSihL0OyJel265TIr3pOlSJmQUnpqmsdAjZ67xWyzm0mwih1+LYApzTwiNO&#10;FrSjQ09QK0jAtlH/A2W1iB59lybC22okUhQhFtP6kTZvewiqcCGpMZxEx/8HK17v7iLTkiahntHN&#10;O7B05/cfv/348Pnn90+03n/9wi6mWaghYEv5N+4uHncY7mJmve+izX/iw/ZF3MNJXLVPTJCzaZq6&#10;uWg4ExS7JIMwqofSEDG9VN6ybCy40S4zhxZ2rzCNqb9Tsts4NlDPzdXzjAg0hx3dP5k2EBd0m1KM&#10;3mh5q43JJRg36xsT2Q7yLJTv2MNfafmUFWA/5pVQToM2+q2TxeoVyBdOsnQIJJajZ8JzN1ZJzoyi&#10;V5WtkplAm3MySQjjSI8s8ShqttZeHorWxU8TUBQ7TmsesT/3pfrhhS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Ac/AraAAAACQEAAA8AAAAAAAAAAQAgAAAAIgAAAGRycy9kb3ducmV2LnhtbFBL&#10;AQIUABQAAAAIAIdO4kB4aG8V9AEAAOkDAAAOAAAAAAAAAAEAIAAAACkBAABkcnMvZTJvRG9jLnht&#10;bFBLBQYAAAAABgAGAFkBAACPBQAAAAA=&#10;">
                <v:fill on="f" focussize="0,0"/>
                <v:stroke weight="1.25pt" color="#000000" joinstyle="round"/>
                <v:imagedata o:title=""/>
                <o:lock v:ext="edit" aspectratio="f"/>
              </v:line>
            </w:pict>
          </mc:Fallback>
        </mc:AlternateContent>
      </w:r>
    </w:p>
    <w:p w14:paraId="43CB459C">
      <w:pPr>
        <w:keepNext w:val="0"/>
        <w:keepLines w:val="0"/>
        <w:pageBreakBefore w:val="0"/>
        <w:widowControl w:val="0"/>
        <w:kinsoku/>
        <w:wordWrap/>
        <w:overflowPunct/>
        <w:topLinePunct w:val="0"/>
        <w:autoSpaceDE/>
        <w:autoSpaceDN/>
        <w:bidi w:val="0"/>
        <w:adjustRightInd w:val="0"/>
        <w:snapToGrid w:val="0"/>
        <w:spacing w:line="560" w:lineRule="exact"/>
        <w:ind w:left="0" w:right="0"/>
        <w:textAlignment w:val="auto"/>
        <w:rPr>
          <w:rFonts w:hint="eastAsia" w:ascii="Times New Roman" w:hAnsi="Times New Roman" w:eastAsia="仿宋_GB2312" w:cs="仿宋_GB2312"/>
          <w:color w:val="000000"/>
          <w:sz w:val="32"/>
          <w:szCs w:val="32"/>
          <w:u w:val="none"/>
          <w:lang w:val="en-US" w:eastAsia="zh-CN"/>
        </w:rPr>
      </w:pPr>
      <w:r>
        <w:rPr>
          <w:rFonts w:hint="eastAsia" w:ascii="Times New Roman" w:hAnsi="Times New Roman" w:eastAsia="仿宋_GB2312" w:cs="仿宋_GB2312"/>
          <w:bCs/>
          <w:color w:val="000000"/>
          <w:sz w:val="32"/>
          <w:szCs w:val="32"/>
          <w:u w:val="none"/>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20806410</wp:posOffset>
                </wp:positionV>
                <wp:extent cx="5762625" cy="1270"/>
                <wp:effectExtent l="0" t="0" r="0" b="0"/>
                <wp:wrapNone/>
                <wp:docPr id="1029" name="直接连接符 32"/>
                <wp:cNvGraphicFramePr/>
                <a:graphic xmlns:a="http://schemas.openxmlformats.org/drawingml/2006/main">
                  <a:graphicData uri="http://schemas.microsoft.com/office/word/2010/wordprocessingShape">
                    <wps:wsp>
                      <wps:cNvCnPr/>
                      <wps:spPr>
                        <a:xfrm>
                          <a:off x="0" y="0"/>
                          <a:ext cx="5762625" cy="1269"/>
                        </a:xfrm>
                        <a:prstGeom prst="line">
                          <a:avLst/>
                        </a:prstGeom>
                        <a:ln w="9360" cap="sq" cmpd="sng">
                          <a:solidFill>
                            <a:srgbClr val="000000"/>
                          </a:solidFill>
                          <a:prstDash val="solid"/>
                          <a:round/>
                          <a:headEnd type="none" w="med" len="med"/>
                          <a:tailEnd type="none" w="med" len="med"/>
                        </a:ln>
                      </wps:spPr>
                      <wps:bodyPr/>
                    </wps:wsp>
                  </a:graphicData>
                </a:graphic>
              </wp:anchor>
            </w:drawing>
          </mc:Choice>
          <mc:Fallback>
            <w:pict>
              <v:line id="直接连接符 32" o:spid="_x0000_s1026" o:spt="20" style="position:absolute;left:0pt;margin-left:0pt;margin-top:1638.3pt;height:0.1pt;width:453.75pt;z-index:251659264;mso-width-relative:page;mso-height-relative:page;" filled="f" stroked="t" coordsize="21600,21600" o:gfxdata="UEsDBAoAAAAAAIdO4kAAAAAAAAAAAAAAAAAEAAAAZHJzL1BLAwQUAAAACACHTuJAMZKZy9cAAAAK&#10;AQAADwAAAGRycy9kb3ducmV2LnhtbE2PwU7DMBBE70j8g7VI3KjTVqQlxOkBUXHg1BQhjpt4SQLx&#10;2rLdNv17jDjQ4+ysZt6Um8mM4kg+DJYVzGcZCOLW6oE7BW/77d0aRIjIGkfLpOBMATbV9VWJhbYn&#10;3tGxjp1IIRwKVNDH6AopQ9uTwTCzjjh5n9YbjEn6TmqPpxRuRrnIslwaHDg19Ojoqaf2uz4YBS/v&#10;X9It8WPPz91ucltqzq+1V+r2Zp49gog0xf9n+MVP6FAlpsYeWAcxKkhDooLlYpXnIJL/kK3uQTR/&#10;pzXIqpSXE6ofUEsDBBQAAAAIAIdO4kAXA39S9QEAAOcDAAAOAAAAZHJzL2Uyb0RvYy54bWytU0uO&#10;EzEQ3SNxB8t70kmPJjCtdGYxYdggiAQcoGK705b8w+X8LsEFkNjBiiV7bsNwDMrukIFhkwW9cJfL&#10;z8/1nsuz6701bKsiau9aPhmNOVNOeKnduuXv3t4+ecYZJnASjHeq5QeF/Hr++NFsFxpV+94bqSIj&#10;EofNLrS8Tyk0VYWiVxZw5INytNj5aCHRNK4rGWFH7NZU9Xg8rXY+yhC9UIiUXQyL/MgYzyH0XaeF&#10;WnixscqlgTUqA4kkYa8D8nmptuuUSK+7DlVipuWkNJWRDqF4lcdqPoNmHSH0WhxLgHNKeKDJgnZ0&#10;6IlqAQnYJup/qKwW0aPv0kh4Ww1CiiOkYjJ+4M2bHoIqWshqDCfT8f/RilfbZWRaUieM6yvOHFi6&#10;87uP3358+Pzz+yca775+YRd1NmoXsCH8jVvG4wzDMmbV+y7a/Cc9bF/MPZzMVfvEBCUvn07raX3J&#10;maC1ST29ypTV/d4QMb1Q3rIctNxol6VDA9uXmAbob0hOG8d2Lb+6mNJNCqA+xPcU2EBK0K3LTvRG&#10;y1ttTMZjXK9uTGRbyJ1QvmMBf8HyEQvAfsCVpQyDJvqNkyXqFcjnTrJ0CGSVo0fCcylWSc6MojeV&#10;o4JMoM05SHLBODIjGzxYmqOVl4fidMnT/Re7jr2aG+zPedl9/z7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kpnL1wAAAAoBAAAPAAAAAAAAAAEAIAAAACIAAABkcnMvZG93bnJldi54bWxQSwEC&#10;FAAUAAAACACHTuJAFwN/UvUBAADnAwAADgAAAAAAAAABACAAAAAmAQAAZHJzL2Uyb0RvYy54bWxQ&#10;SwUGAAAAAAYABgBZAQAAjQ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_GB2312"/>
          <w:color w:val="000000"/>
          <w:sz w:val="32"/>
          <w:szCs w:val="32"/>
          <w:u w:val="none"/>
        </w:rPr>
        <w:t>本文书一式</w:t>
      </w:r>
      <w:r>
        <w:rPr>
          <w:rFonts w:hint="eastAsia" w:ascii="Times New Roman" w:hAnsi="Times New Roman" w:eastAsia="仿宋_GB2312" w:cs="仿宋_GB2312"/>
          <w:color w:val="000000"/>
          <w:sz w:val="32"/>
          <w:szCs w:val="32"/>
          <w:u w:val="none"/>
          <w:lang w:val="en-US" w:eastAsia="zh-CN"/>
        </w:rPr>
        <w:t>二</w:t>
      </w:r>
      <w:r>
        <w:rPr>
          <w:rFonts w:hint="eastAsia" w:ascii="Times New Roman" w:hAnsi="Times New Roman" w:eastAsia="仿宋_GB2312" w:cs="仿宋_GB2312"/>
          <w:color w:val="000000"/>
          <w:sz w:val="32"/>
          <w:szCs w:val="32"/>
          <w:u w:val="none"/>
        </w:rPr>
        <w:t>份，</w:t>
      </w:r>
      <w:r>
        <w:rPr>
          <w:rFonts w:hint="eastAsia" w:ascii="Times New Roman" w:hAnsi="Times New Roman" w:eastAsia="仿宋_GB2312" w:cs="仿宋_GB2312"/>
          <w:color w:val="000000"/>
          <w:sz w:val="32"/>
          <w:szCs w:val="32"/>
          <w:u w:val="none"/>
          <w:lang w:val="en-US" w:eastAsia="zh-CN"/>
        </w:rPr>
        <w:t>一</w:t>
      </w:r>
      <w:r>
        <w:rPr>
          <w:rFonts w:hint="eastAsia" w:ascii="Times New Roman" w:hAnsi="Times New Roman" w:eastAsia="仿宋_GB2312" w:cs="仿宋_GB2312"/>
          <w:color w:val="000000"/>
          <w:sz w:val="32"/>
          <w:szCs w:val="32"/>
          <w:u w:val="none"/>
        </w:rPr>
        <w:t>份送达，一份归档</w:t>
      </w:r>
      <w:r>
        <w:rPr>
          <w:rFonts w:hint="eastAsia" w:ascii="Times New Roman" w:hAnsi="Times New Roman" w:eastAsia="仿宋_GB2312" w:cs="仿宋_GB2312"/>
          <w:color w:val="000000"/>
          <w:sz w:val="32"/>
          <w:szCs w:val="32"/>
          <w:u w:val="none"/>
          <w:lang w:val="en-US" w:eastAsia="zh-CN"/>
        </w:rPr>
        <w:t>。</w:t>
      </w:r>
    </w:p>
    <w:p w14:paraId="796BD788">
      <w:pPr>
        <w:pStyle w:val="2"/>
        <w:rPr>
          <w:rFonts w:hint="eastAsia" w:ascii="Times New Roman" w:hAnsi="Times New Roman" w:eastAsia="仿宋_GB2312" w:cs="仿宋_GB2312"/>
          <w:color w:val="000000"/>
          <w:sz w:val="32"/>
          <w:szCs w:val="32"/>
          <w:u w:val="none"/>
          <w:lang w:val="en-US" w:eastAsia="zh-CN"/>
        </w:rPr>
      </w:pPr>
    </w:p>
    <w:p w14:paraId="5B1C55F1">
      <w:pPr>
        <w:pStyle w:val="2"/>
        <w:ind w:left="0" w:leftChars="0" w:firstLine="0" w:firstLineChars="0"/>
        <w:rPr>
          <w:rFonts w:hint="eastAsia"/>
          <w:lang w:val="en-US" w:eastAsia="zh-CN"/>
        </w:rPr>
      </w:pPr>
    </w:p>
    <w:tbl>
      <w:tblPr>
        <w:tblStyle w:val="6"/>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9"/>
        <w:gridCol w:w="2563"/>
        <w:gridCol w:w="2172"/>
        <w:gridCol w:w="2902"/>
      </w:tblGrid>
      <w:tr w14:paraId="45BFB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8336" w:type="dxa"/>
            <w:gridSpan w:val="4"/>
            <w:tcBorders>
              <w:top w:val="nil"/>
              <w:left w:val="nil"/>
              <w:bottom w:val="nil"/>
              <w:right w:val="nil"/>
            </w:tcBorders>
            <w:shd w:val="clear" w:color="auto" w:fill="auto"/>
            <w:tcMar>
              <w:top w:w="15" w:type="dxa"/>
              <w:left w:w="15" w:type="dxa"/>
              <w:right w:w="15" w:type="dxa"/>
            </w:tcMar>
            <w:vAlign w:val="center"/>
          </w:tcPr>
          <w:p w14:paraId="69C66DA9">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裕民县天一红花种植专业合作社等6户合作社基本情况</w:t>
            </w:r>
          </w:p>
        </w:tc>
      </w:tr>
      <w:tr w14:paraId="537D8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5150A0">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5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8FD08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企业名称</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9A72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统一社会信用代码</w:t>
            </w:r>
          </w:p>
        </w:tc>
        <w:tc>
          <w:tcPr>
            <w:tcW w:w="29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E32EE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法人（经营者）</w:t>
            </w:r>
          </w:p>
        </w:tc>
      </w:tr>
      <w:tr w14:paraId="3BA88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E48E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3B7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裕民县天一红花种植专业合作社</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3A5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93654225MA79JMY40L</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B92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李振江</w:t>
            </w:r>
          </w:p>
        </w:tc>
      </w:tr>
      <w:tr w14:paraId="1D5A9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47F1A">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9D4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裕民县察汗托海牧场宇坤种养殖农民专业合作社</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378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93654225085368356M</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B4D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刘福成</w:t>
            </w:r>
          </w:p>
        </w:tc>
      </w:tr>
      <w:tr w14:paraId="75D27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F3386">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3D7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裕民县庆丰种养殖农民专业合作社</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8DB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93654225MA79JRHW50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13E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冯延虎</w:t>
            </w:r>
          </w:p>
        </w:tc>
      </w:tr>
      <w:tr w14:paraId="266A3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8B2B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DAE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裕民县迪尔恰提骆驼养殖农民专业合作社</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75D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93654225MA79JMAY37</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E5D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迪尔恰提·阿山</w:t>
            </w:r>
          </w:p>
        </w:tc>
      </w:tr>
      <w:tr w14:paraId="392D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9110D">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B82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裕民县哈力畜牧养殖农民专业合作社</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4B4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93654225MA79JNJ21Q</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046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哈力比亚提·阿哈斯</w:t>
            </w:r>
          </w:p>
        </w:tc>
      </w:tr>
      <w:tr w14:paraId="51E65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34631">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F75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裕民县马氏畜牧养殖农民专业合作社</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4AD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93654225MA776UAT16</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8B7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马松地给</w:t>
            </w:r>
          </w:p>
        </w:tc>
      </w:tr>
    </w:tbl>
    <w:p w14:paraId="319DE4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angal">
    <w:altName w:val="DejaVu Math TeX Gyre"/>
    <w:panose1 w:val="02040503050203030202"/>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3"/>
    <w:multiLevelType w:val="multilevel"/>
    <w:tmpl w:val="00000003"/>
    <w:lvl w:ilvl="0" w:tentative="0">
      <w:start w:val="1"/>
      <w:numFmt w:val="none"/>
      <w:pStyle w:val="4"/>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RiY2IyNzdhN2Q0ODcxOTAzNzhiNjZlNjFjNGQifQ=="/>
  </w:docVars>
  <w:rsids>
    <w:rsidRoot w:val="003533E3"/>
    <w:rsid w:val="003533E3"/>
    <w:rsid w:val="00590942"/>
    <w:rsid w:val="00AF59FD"/>
    <w:rsid w:val="00CB7CC2"/>
    <w:rsid w:val="00FA13B3"/>
    <w:rsid w:val="010E4935"/>
    <w:rsid w:val="01BF0776"/>
    <w:rsid w:val="033D60C4"/>
    <w:rsid w:val="03F84C49"/>
    <w:rsid w:val="04111119"/>
    <w:rsid w:val="04DE46C4"/>
    <w:rsid w:val="05B606F1"/>
    <w:rsid w:val="08EA0807"/>
    <w:rsid w:val="096E1B28"/>
    <w:rsid w:val="09B6601B"/>
    <w:rsid w:val="09E1570C"/>
    <w:rsid w:val="0A775B26"/>
    <w:rsid w:val="0AB46FD9"/>
    <w:rsid w:val="0BC21115"/>
    <w:rsid w:val="0BD43072"/>
    <w:rsid w:val="0C047B73"/>
    <w:rsid w:val="0C4A2494"/>
    <w:rsid w:val="0E0105FB"/>
    <w:rsid w:val="0F7A3BB4"/>
    <w:rsid w:val="0FFF4D5A"/>
    <w:rsid w:val="117B33BE"/>
    <w:rsid w:val="11C124D6"/>
    <w:rsid w:val="12053EDB"/>
    <w:rsid w:val="12270A73"/>
    <w:rsid w:val="126156AF"/>
    <w:rsid w:val="13491BA5"/>
    <w:rsid w:val="13505263"/>
    <w:rsid w:val="13D70B10"/>
    <w:rsid w:val="13EE68BE"/>
    <w:rsid w:val="146179F6"/>
    <w:rsid w:val="147F0A29"/>
    <w:rsid w:val="14815736"/>
    <w:rsid w:val="14BB4CC6"/>
    <w:rsid w:val="14E97907"/>
    <w:rsid w:val="156944B3"/>
    <w:rsid w:val="15F66486"/>
    <w:rsid w:val="16740B0A"/>
    <w:rsid w:val="17127111"/>
    <w:rsid w:val="171A4616"/>
    <w:rsid w:val="17A83620"/>
    <w:rsid w:val="17BC0D95"/>
    <w:rsid w:val="18B86491"/>
    <w:rsid w:val="18EE5BB3"/>
    <w:rsid w:val="194E52F6"/>
    <w:rsid w:val="1A9265FE"/>
    <w:rsid w:val="1B3B3FA2"/>
    <w:rsid w:val="1B661FFA"/>
    <w:rsid w:val="1B7C1967"/>
    <w:rsid w:val="1B961053"/>
    <w:rsid w:val="1C196A5E"/>
    <w:rsid w:val="1D561375"/>
    <w:rsid w:val="1D5C5696"/>
    <w:rsid w:val="1FE904E9"/>
    <w:rsid w:val="20C33A31"/>
    <w:rsid w:val="21785351"/>
    <w:rsid w:val="222E047A"/>
    <w:rsid w:val="234427DD"/>
    <w:rsid w:val="23FB42D3"/>
    <w:rsid w:val="247052D1"/>
    <w:rsid w:val="24EE79BC"/>
    <w:rsid w:val="25FF513F"/>
    <w:rsid w:val="266521B7"/>
    <w:rsid w:val="266E2305"/>
    <w:rsid w:val="26C05690"/>
    <w:rsid w:val="270265A6"/>
    <w:rsid w:val="278B38ED"/>
    <w:rsid w:val="2845091A"/>
    <w:rsid w:val="28843F67"/>
    <w:rsid w:val="29095CA6"/>
    <w:rsid w:val="292602A2"/>
    <w:rsid w:val="29F77365"/>
    <w:rsid w:val="2B0B0B85"/>
    <w:rsid w:val="2B57103F"/>
    <w:rsid w:val="2BB36F7E"/>
    <w:rsid w:val="2C4E11F6"/>
    <w:rsid w:val="2C78747A"/>
    <w:rsid w:val="2D9F7837"/>
    <w:rsid w:val="2E0A2E45"/>
    <w:rsid w:val="2E620C73"/>
    <w:rsid w:val="2F123169"/>
    <w:rsid w:val="2F453EA3"/>
    <w:rsid w:val="2FCF127A"/>
    <w:rsid w:val="30073ED6"/>
    <w:rsid w:val="301850DD"/>
    <w:rsid w:val="30E47E77"/>
    <w:rsid w:val="32EF0CBA"/>
    <w:rsid w:val="3418584E"/>
    <w:rsid w:val="36747F5B"/>
    <w:rsid w:val="385452EF"/>
    <w:rsid w:val="38764B3B"/>
    <w:rsid w:val="38BB607B"/>
    <w:rsid w:val="38C735E8"/>
    <w:rsid w:val="394016AB"/>
    <w:rsid w:val="3999590D"/>
    <w:rsid w:val="39E262F2"/>
    <w:rsid w:val="39F93279"/>
    <w:rsid w:val="3A6B13F4"/>
    <w:rsid w:val="3BF97EFE"/>
    <w:rsid w:val="3C2D5A19"/>
    <w:rsid w:val="3C6070F4"/>
    <w:rsid w:val="3C6342C1"/>
    <w:rsid w:val="3CCE0172"/>
    <w:rsid w:val="3D721804"/>
    <w:rsid w:val="3DC66B0A"/>
    <w:rsid w:val="3DE96DB5"/>
    <w:rsid w:val="3EA67A40"/>
    <w:rsid w:val="3F81123A"/>
    <w:rsid w:val="3FFB19B3"/>
    <w:rsid w:val="40392361"/>
    <w:rsid w:val="406F7753"/>
    <w:rsid w:val="40BF1E33"/>
    <w:rsid w:val="410A0474"/>
    <w:rsid w:val="41522795"/>
    <w:rsid w:val="41C405E4"/>
    <w:rsid w:val="42E35422"/>
    <w:rsid w:val="43CF2EBC"/>
    <w:rsid w:val="44C8740D"/>
    <w:rsid w:val="44D70F18"/>
    <w:rsid w:val="45716E1A"/>
    <w:rsid w:val="45CF6A73"/>
    <w:rsid w:val="472737D4"/>
    <w:rsid w:val="47C865FD"/>
    <w:rsid w:val="480E1EFD"/>
    <w:rsid w:val="48736FC3"/>
    <w:rsid w:val="488C5221"/>
    <w:rsid w:val="48C602CD"/>
    <w:rsid w:val="495C7003"/>
    <w:rsid w:val="4A744BA3"/>
    <w:rsid w:val="4B3543F6"/>
    <w:rsid w:val="4BA44C10"/>
    <w:rsid w:val="4BE260DA"/>
    <w:rsid w:val="4CB654D8"/>
    <w:rsid w:val="4D870598"/>
    <w:rsid w:val="4EEF6AD0"/>
    <w:rsid w:val="508619C3"/>
    <w:rsid w:val="51FE6F1A"/>
    <w:rsid w:val="52536DC6"/>
    <w:rsid w:val="52CB0B6C"/>
    <w:rsid w:val="52E25EC1"/>
    <w:rsid w:val="540F2337"/>
    <w:rsid w:val="54883A4B"/>
    <w:rsid w:val="551D3829"/>
    <w:rsid w:val="556446B3"/>
    <w:rsid w:val="560C781C"/>
    <w:rsid w:val="58AF48A0"/>
    <w:rsid w:val="593A0402"/>
    <w:rsid w:val="5A842C9F"/>
    <w:rsid w:val="5AC345C7"/>
    <w:rsid w:val="5BF15B60"/>
    <w:rsid w:val="5C324340"/>
    <w:rsid w:val="5C7B5157"/>
    <w:rsid w:val="5D4D358F"/>
    <w:rsid w:val="5D7F2682"/>
    <w:rsid w:val="5E064D56"/>
    <w:rsid w:val="5F24612C"/>
    <w:rsid w:val="5F647A9B"/>
    <w:rsid w:val="608A4177"/>
    <w:rsid w:val="60BE2A2E"/>
    <w:rsid w:val="61E90555"/>
    <w:rsid w:val="64885598"/>
    <w:rsid w:val="64A43304"/>
    <w:rsid w:val="64D66472"/>
    <w:rsid w:val="64E852D9"/>
    <w:rsid w:val="6598315F"/>
    <w:rsid w:val="660D1920"/>
    <w:rsid w:val="663F34B9"/>
    <w:rsid w:val="66A8313C"/>
    <w:rsid w:val="66D019FD"/>
    <w:rsid w:val="670A6FCF"/>
    <w:rsid w:val="67480BC6"/>
    <w:rsid w:val="67486971"/>
    <w:rsid w:val="68313AE4"/>
    <w:rsid w:val="690373C9"/>
    <w:rsid w:val="6AC704F9"/>
    <w:rsid w:val="6ADC4B56"/>
    <w:rsid w:val="6AEA13C3"/>
    <w:rsid w:val="6B2A5C1D"/>
    <w:rsid w:val="6B7620ED"/>
    <w:rsid w:val="6BC17E01"/>
    <w:rsid w:val="6BD71246"/>
    <w:rsid w:val="6C046DDD"/>
    <w:rsid w:val="6C1229E3"/>
    <w:rsid w:val="6C906EE3"/>
    <w:rsid w:val="6CAC368C"/>
    <w:rsid w:val="6CBA6552"/>
    <w:rsid w:val="6CED5AA7"/>
    <w:rsid w:val="6DA212C9"/>
    <w:rsid w:val="6DBC2865"/>
    <w:rsid w:val="6EB15E4C"/>
    <w:rsid w:val="6FB3609A"/>
    <w:rsid w:val="71751AF9"/>
    <w:rsid w:val="722E3F75"/>
    <w:rsid w:val="738C6CC5"/>
    <w:rsid w:val="73C73934"/>
    <w:rsid w:val="73E02268"/>
    <w:rsid w:val="744C0D6A"/>
    <w:rsid w:val="74FA743A"/>
    <w:rsid w:val="75293E52"/>
    <w:rsid w:val="75503B33"/>
    <w:rsid w:val="75C82F7B"/>
    <w:rsid w:val="75D53A61"/>
    <w:rsid w:val="76850C20"/>
    <w:rsid w:val="772B305E"/>
    <w:rsid w:val="77361EDD"/>
    <w:rsid w:val="78C450E9"/>
    <w:rsid w:val="78D5697C"/>
    <w:rsid w:val="79884C8C"/>
    <w:rsid w:val="799669BD"/>
    <w:rsid w:val="7A7E6FA3"/>
    <w:rsid w:val="7BCE0FAA"/>
    <w:rsid w:val="7C297EB7"/>
    <w:rsid w:val="7D0E65C7"/>
    <w:rsid w:val="7D8A3B3B"/>
    <w:rsid w:val="7D90157B"/>
    <w:rsid w:val="7DB97C59"/>
    <w:rsid w:val="7DE735B0"/>
    <w:rsid w:val="7E1B3538"/>
    <w:rsid w:val="7E6B4B29"/>
    <w:rsid w:val="7F0F3F42"/>
    <w:rsid w:val="7FCB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kern w:val="0"/>
      <w:sz w:val="22"/>
      <w:szCs w:val="22"/>
      <w:lang w:val="zh-CN" w:eastAsia="zh-CN" w:bidi="zh-CN"/>
    </w:rPr>
  </w:style>
  <w:style w:type="paragraph" w:styleId="4">
    <w:name w:val="heading 1"/>
    <w:basedOn w:val="1"/>
    <w:next w:val="1"/>
    <w:link w:val="10"/>
    <w:qFormat/>
    <w:uiPriority w:val="0"/>
    <w:pPr>
      <w:keepNext/>
      <w:numPr>
        <w:ilvl w:val="0"/>
        <w:numId w:val="1"/>
      </w:numPr>
      <w:autoSpaceDE/>
      <w:autoSpaceDN/>
      <w:spacing w:before="240" w:after="120"/>
      <w:outlineLvl w:val="0"/>
    </w:pPr>
    <w:rPr>
      <w:rFonts w:ascii="Times New Roman" w:hAnsi="Times New Roman" w:eastAsia="宋体" w:cs="Mangal"/>
      <w:color w:val="00000A"/>
      <w:kern w:val="2"/>
      <w:sz w:val="24"/>
      <w:szCs w:val="24"/>
      <w:lang w:bidi="hi-I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spacing w:after="120"/>
      <w:ind w:left="0" w:leftChars="200" w:firstLine="420" w:firstLineChars="200"/>
      <w:jc w:val="both"/>
      <w:textAlignment w:val="baseline"/>
    </w:pPr>
    <w:rPr>
      <w:rFonts w:ascii="Times New Roman" w:hAnsi="Times New Roman"/>
      <w:szCs w:val="24"/>
    </w:rPr>
  </w:style>
  <w:style w:type="paragraph" w:customStyle="1" w:styleId="3">
    <w:name w:val="BodyTextIndent"/>
    <w:basedOn w:val="1"/>
    <w:qFormat/>
    <w:uiPriority w:val="0"/>
    <w:pPr>
      <w:spacing w:after="120"/>
      <w:ind w:left="420" w:leftChars="200"/>
      <w:jc w:val="both"/>
      <w:textAlignment w:val="baseline"/>
    </w:pPr>
  </w:style>
  <w:style w:type="paragraph" w:styleId="5">
    <w:name w:val="Body Text"/>
    <w:basedOn w:val="1"/>
    <w:link w:val="8"/>
    <w:qFormat/>
    <w:uiPriority w:val="1"/>
    <w:pPr>
      <w:ind w:left="120" w:firstLine="640"/>
    </w:pPr>
    <w:rPr>
      <w:sz w:val="32"/>
      <w:szCs w:val="32"/>
    </w:rPr>
  </w:style>
  <w:style w:type="character" w:customStyle="1" w:styleId="8">
    <w:name w:val="正文文本 Char"/>
    <w:basedOn w:val="7"/>
    <w:link w:val="5"/>
    <w:qFormat/>
    <w:uiPriority w:val="1"/>
    <w:rPr>
      <w:rFonts w:ascii="仿宋" w:hAnsi="仿宋" w:eastAsia="仿宋" w:cs="仿宋"/>
      <w:kern w:val="0"/>
      <w:sz w:val="32"/>
      <w:szCs w:val="32"/>
      <w:lang w:val="zh-CN" w:bidi="zh-CN"/>
    </w:rPr>
  </w:style>
  <w:style w:type="paragraph" w:styleId="9">
    <w:name w:val="List Paragraph"/>
    <w:basedOn w:val="1"/>
    <w:qFormat/>
    <w:uiPriority w:val="1"/>
    <w:pPr>
      <w:ind w:left="120" w:firstLine="640"/>
    </w:pPr>
  </w:style>
  <w:style w:type="character" w:customStyle="1" w:styleId="10">
    <w:name w:val="标题 1 Char"/>
    <w:basedOn w:val="7"/>
    <w:link w:val="4"/>
    <w:qFormat/>
    <w:uiPriority w:val="0"/>
    <w:rPr>
      <w:rFonts w:ascii="Times New Roman" w:hAnsi="Times New Roman" w:eastAsia="宋体" w:cs="Mangal"/>
      <w:color w:val="00000A"/>
      <w:sz w:val="24"/>
      <w:szCs w:val="24"/>
      <w:lang w:val="zh-C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1563</Words>
  <Characters>1696</Characters>
  <Lines>9</Lines>
  <Paragraphs>2</Paragraphs>
  <TotalTime>19</TotalTime>
  <ScaleCrop>false</ScaleCrop>
  <LinksUpToDate>false</LinksUpToDate>
  <CharactersWithSpaces>1770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2019-05-05T10:08:00Z</dcterms:created>
  <dc:creator>xb21cn</dc:creator>
  <cp:lastModifiedBy>sinner</cp:lastModifiedBy>
  <cp:lastPrinted>2024-07-12T09:38:00Z</cp:lastPrinted>
  <dcterms:modified xsi:type="dcterms:W3CDTF">2025-01-24T08:55:21Z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6A1F2DD583B44AF3B4C6925BFAF416DB</vt:lpwstr>
  </property>
  <property fmtid="{D5CDD505-2E9C-101B-9397-08002B2CF9AE}" pid="4" name="KSOTemplateDocerSaveRecord">
    <vt:lpwstr>eyJoZGlkIjoiYmJkZGRiY2IyNzdhN2Q0ODcxOTAzNzhiNjZlNjFjNGQiLCJ1c2VySWQiOiI2NTY2MzQ2MDAifQ==</vt:lpwstr>
  </property>
</Properties>
</file>