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widowControl w:val="0"/>
        <w:autoSpaceDE w:val="0"/>
        <w:autoSpaceDN w:val="0"/>
        <w:spacing w:before="0" w:after="0" w:line="531" w:lineRule="exact"/>
        <w:ind w:right="0"/>
        <w:jc w:val="center"/>
        <w:rPr>
          <w:rFonts w:ascii="ABSEKN+FangSong" w:hAnsi="ABSEKN+FangSong" w:cs="ABSEKN+FangSong"/>
          <w:color w:val="000000"/>
          <w:w w:val="100"/>
          <w:sz w:val="44"/>
          <w:szCs w:val="44"/>
        </w:rPr>
      </w:pPr>
    </w:p>
    <w:p>
      <w:pPr>
        <w:widowControl w:val="0"/>
        <w:autoSpaceDE w:val="0"/>
        <w:autoSpaceDN w:val="0"/>
        <w:spacing w:before="0" w:after="0" w:line="531" w:lineRule="exact"/>
        <w:ind w:right="0"/>
        <w:jc w:val="center"/>
        <w:rPr>
          <w:rFonts w:hint="eastAsia" w:ascii="方正小标宋简体" w:hAnsi="方正小标宋简体" w:eastAsia="方正小标宋简体" w:cs="方正小标宋简体"/>
          <w:color w:val="000000"/>
          <w:w w:val="1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w w:val="100"/>
          <w:sz w:val="44"/>
          <w:szCs w:val="44"/>
        </w:rPr>
        <w:t>产品质量监督抽查实施细则</w:t>
      </w: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pict>
          <v:shape id="_x00000" o:spid="_x0000_s1026" o:spt="75" type="#_x0000_t75" style="position:absolute;left:0pt;flip:y;margin-left:93.15pt;margin-top:139.7pt;height:6pt;width:417.3pt;mso-position-horizontal-relative:page;mso-position-vertical-relative:page;z-index:-16777216;mso-width-relative:page;mso-height-relative:page;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</v:shape>
        </w:pict>
      </w: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 w:firstLine="3960" w:firstLineChars="900"/>
        <w:jc w:val="left"/>
        <w:rPr>
          <w:rFonts w:ascii="ABSEKN+FangSong" w:hAnsi="ABSEKN+FangSong" w:cs="ABSEKN+FangSong"/>
          <w:color w:val="000000"/>
          <w:w w:val="100"/>
          <w:sz w:val="44"/>
          <w:szCs w:val="44"/>
        </w:rPr>
      </w:pPr>
    </w:p>
    <w:p>
      <w:pPr>
        <w:spacing w:before="0" w:after="0" w:line="0" w:lineRule="exact"/>
        <w:ind w:left="0" w:right="0" w:firstLine="3960" w:firstLineChars="900"/>
        <w:jc w:val="left"/>
        <w:rPr>
          <w:rFonts w:ascii="ABSEKN+FangSong" w:hAnsi="ABSEKN+FangSong" w:cs="ABSEKN+FangSong"/>
          <w:color w:val="000000"/>
          <w:w w:val="100"/>
          <w:sz w:val="44"/>
          <w:szCs w:val="44"/>
        </w:rPr>
      </w:pPr>
    </w:p>
    <w:p>
      <w:pPr>
        <w:spacing w:before="0" w:after="0" w:line="0" w:lineRule="exact"/>
        <w:ind w:left="0" w:right="0" w:firstLine="3960" w:firstLineChars="900"/>
        <w:jc w:val="left"/>
        <w:rPr>
          <w:rFonts w:hint="eastAsia" w:ascii="ABSEKN+FangSong" w:hAnsi="ABSEKN+FangSong" w:cs="ABSEKN+FangSong"/>
          <w:color w:val="000000"/>
          <w:w w:val="100"/>
          <w:sz w:val="44"/>
          <w:szCs w:val="44"/>
          <w:lang w:val="en-US" w:eastAsia="zh-CN"/>
        </w:rPr>
      </w:pPr>
    </w:p>
    <w:p>
      <w:pPr>
        <w:spacing w:before="0" w:after="0" w:line="0" w:lineRule="exact"/>
        <w:ind w:left="0" w:right="0" w:firstLine="3960" w:firstLineChars="900"/>
        <w:jc w:val="left"/>
        <w:rPr>
          <w:rFonts w:hint="eastAsia" w:ascii="ABSEKN+FangSong" w:hAnsi="ABSEKN+FangSong" w:cs="ABSEKN+FangSong"/>
          <w:color w:val="000000"/>
          <w:w w:val="10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w w:val="1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w w:val="100"/>
          <w:sz w:val="44"/>
          <w:szCs w:val="44"/>
          <w:lang w:val="en-US" w:eastAsia="zh-CN"/>
        </w:rPr>
        <w:t>2025</w:t>
      </w:r>
      <w:r>
        <w:rPr>
          <w:rFonts w:hint="eastAsia" w:ascii="方正小标宋简体" w:hAnsi="方正小标宋简体" w:eastAsia="方正小标宋简体" w:cs="方正小标宋简体"/>
          <w:color w:val="000000"/>
          <w:w w:val="100"/>
          <w:sz w:val="44"/>
          <w:szCs w:val="44"/>
        </w:rPr>
        <w:t>年</w:t>
      </w:r>
      <w:r>
        <w:rPr>
          <w:rFonts w:hint="eastAsia" w:ascii="方正小标宋简体" w:hAnsi="方正小标宋简体" w:eastAsia="方正小标宋简体" w:cs="方正小标宋简体"/>
          <w:color w:val="000000"/>
          <w:w w:val="100"/>
          <w:sz w:val="44"/>
          <w:szCs w:val="44"/>
          <w:lang w:val="en-US" w:eastAsia="zh-CN"/>
        </w:rPr>
        <w:t>裕民县单翼迷宫式</w:t>
      </w:r>
      <w:r>
        <w:rPr>
          <w:rFonts w:hint="eastAsia" w:ascii="方正小标宋简体" w:hAnsi="方正小标宋简体" w:eastAsia="方正小标宋简体" w:cs="方正小标宋简体"/>
          <w:color w:val="000000"/>
          <w:w w:val="100"/>
          <w:sz w:val="44"/>
          <w:szCs w:val="44"/>
        </w:rPr>
        <w:t>滴灌带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40" w:lineRule="exact"/>
        <w:ind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000000"/>
          <w:w w:val="10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w w:val="100"/>
          <w:sz w:val="44"/>
          <w:szCs w:val="44"/>
        </w:rPr>
        <w:t>产品质量监督抽查实施细则</w:t>
      </w: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</w:p>
    <w:p>
      <w:pPr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hint="eastAsia" w:ascii="ABSEKN+FangSong" w:hAnsi="ABSEKN+FangSong" w:cs="ABSEKN+FangSong"/>
          <w:color w:val="000000"/>
          <w:w w:val="100"/>
          <w:sz w:val="36"/>
          <w:szCs w:val="36"/>
          <w:lang w:val="en-US" w:eastAsia="zh-CN"/>
        </w:rPr>
      </w:pPr>
      <w:r>
        <w:rPr>
          <w:rFonts w:ascii="Arial" w:hAnsi="Arial" w:cs="Arial"/>
          <w:color w:val="000000"/>
          <w:sz w:val="14"/>
          <w:szCs w:val="14"/>
        </w:rPr>
        <w:drawing>
          <wp:anchor distT="0" distB="0" distL="114300" distR="114300" simplePos="0" relativeHeight="956303360" behindDoc="1" locked="0" layoutInCell="1" allowOverlap="1">
            <wp:simplePos x="0" y="0"/>
            <wp:positionH relativeFrom="page">
              <wp:posOffset>1116330</wp:posOffset>
            </wp:positionH>
            <wp:positionV relativeFrom="page">
              <wp:posOffset>8853170</wp:posOffset>
            </wp:positionV>
            <wp:extent cx="5299710" cy="76200"/>
            <wp:effectExtent l="0" t="0" r="15240" b="0"/>
            <wp:wrapNone/>
            <wp:docPr id="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9971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autoSpaceDE w:val="0"/>
        <w:autoSpaceDN w:val="0"/>
        <w:spacing w:before="0" w:after="0" w:line="360" w:lineRule="exact"/>
        <w:ind w:left="0" w:right="0"/>
        <w:jc w:val="left"/>
        <w:rPr>
          <w:rFonts w:hint="eastAsia" w:ascii="ABSEKN+FangSong" w:hAnsi="ABSEKN+FangSong" w:cs="ABSEKN+FangSong"/>
          <w:color w:val="000000"/>
          <w:w w:val="100"/>
          <w:sz w:val="36"/>
          <w:szCs w:val="36"/>
          <w:lang w:val="en-US" w:eastAsia="zh-CN"/>
        </w:rPr>
      </w:pPr>
    </w:p>
    <w:p>
      <w:pPr>
        <w:widowControl w:val="0"/>
        <w:autoSpaceDE w:val="0"/>
        <w:autoSpaceDN w:val="0"/>
        <w:spacing w:before="0" w:after="0" w:line="360" w:lineRule="exact"/>
        <w:ind w:right="0"/>
        <w:jc w:val="center"/>
        <w:rPr>
          <w:rFonts w:hint="eastAsia" w:ascii="方正小标宋简体" w:hAnsi="方正小标宋简体" w:eastAsia="方正小标宋简体" w:cs="方正小标宋简体"/>
          <w:color w:val="000000"/>
          <w:w w:val="10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w w:val="100"/>
          <w:sz w:val="36"/>
          <w:szCs w:val="36"/>
          <w:lang w:val="en-US" w:eastAsia="zh-CN"/>
        </w:rPr>
        <w:t>裕民县</w:t>
      </w:r>
      <w:r>
        <w:rPr>
          <w:rFonts w:hint="eastAsia" w:ascii="方正小标宋简体" w:hAnsi="方正小标宋简体" w:eastAsia="方正小标宋简体" w:cs="方正小标宋简体"/>
          <w:color w:val="000000"/>
          <w:w w:val="100"/>
          <w:sz w:val="36"/>
          <w:szCs w:val="36"/>
        </w:rPr>
        <w:t>市场监督管理局</w:t>
      </w:r>
    </w:p>
    <w:p>
      <w:pPr>
        <w:widowControl w:val="0"/>
        <w:autoSpaceDE w:val="0"/>
        <w:autoSpaceDN w:val="0"/>
        <w:spacing w:before="0" w:after="0" w:line="360" w:lineRule="exact"/>
        <w:ind w:right="0"/>
        <w:jc w:val="both"/>
        <w:rPr>
          <w:rFonts w:hint="eastAsia" w:ascii="方正小标宋简体" w:hAnsi="方正小标宋简体" w:eastAsia="方正小标宋简体" w:cs="方正小标宋简体"/>
          <w:color w:val="000000"/>
          <w:w w:val="100"/>
          <w:sz w:val="36"/>
          <w:szCs w:val="36"/>
        </w:rPr>
        <w:sectPr>
          <w:footerReference r:id="rId3" w:type="default"/>
          <w:pgSz w:w="11900" w:h="16840"/>
          <w:pgMar w:top="400" w:right="400" w:bottom="400" w:left="400" w:header="720" w:footer="720" w:gutter="0"/>
          <w:pgNumType w:fmt="decimal"/>
          <w:cols w:space="720" w:num="1"/>
        </w:sectPr>
      </w:pPr>
    </w:p>
    <w:p>
      <w:pPr>
        <w:adjustRightInd w:val="0"/>
        <w:spacing w:line="480" w:lineRule="exact"/>
        <w:jc w:val="center"/>
        <w:rPr>
          <w:rFonts w:hint="eastAsia" w:ascii="方正小标宋简体" w:hAnsi="仿宋" w:eastAsia="方正小标宋简体" w:cs="方正仿宋简体"/>
          <w:b w:val="0"/>
          <w:bCs/>
          <w:color w:val="000000"/>
          <w:sz w:val="32"/>
          <w:szCs w:val="32"/>
        </w:rPr>
      </w:pPr>
      <w:r>
        <w:rPr>
          <w:rFonts w:hint="eastAsia" w:ascii="方正小标宋简体" w:hAnsi="仿宋" w:eastAsia="方正小标宋简体" w:cs="方正仿宋简体"/>
          <w:b w:val="0"/>
          <w:bCs/>
          <w:color w:val="000000"/>
          <w:sz w:val="32"/>
          <w:szCs w:val="32"/>
          <w:lang w:eastAsia="zh-CN"/>
        </w:rPr>
        <w:t>裕民县</w:t>
      </w:r>
      <w:r>
        <w:rPr>
          <w:rFonts w:hint="eastAsia" w:ascii="方正小标宋简体" w:hAnsi="仿宋" w:eastAsia="方正小标宋简体" w:cs="方正仿宋简体"/>
          <w:b w:val="0"/>
          <w:bCs/>
          <w:color w:val="000000"/>
          <w:sz w:val="32"/>
          <w:szCs w:val="32"/>
        </w:rPr>
        <w:t>滴灌带产品质量监督抽查实施细则</w:t>
      </w:r>
    </w:p>
    <w:p>
      <w:pPr>
        <w:adjustRightInd w:val="0"/>
        <w:spacing w:line="480" w:lineRule="exact"/>
        <w:jc w:val="center"/>
        <w:rPr>
          <w:rFonts w:hint="eastAsia" w:ascii="方正小标宋简体" w:hAnsi="仿宋" w:eastAsia="方正小标宋简体" w:cs="方正仿宋简体"/>
          <w:b/>
          <w:color w:val="000000"/>
          <w:sz w:val="32"/>
          <w:szCs w:val="32"/>
        </w:rPr>
      </w:pPr>
    </w:p>
    <w:p>
      <w:pPr>
        <w:snapToGrid w:val="0"/>
        <w:spacing w:line="440" w:lineRule="exact"/>
        <w:jc w:val="left"/>
        <w:rPr>
          <w:rFonts w:hint="eastAsia" w:ascii="黑体" w:hAnsi="宋体" w:eastAsia="黑体"/>
          <w:b/>
          <w:bCs/>
          <w:sz w:val="24"/>
          <w:szCs w:val="24"/>
        </w:rPr>
      </w:pPr>
      <w:r>
        <w:rPr>
          <w:rFonts w:hint="eastAsia" w:ascii="黑体" w:hAnsi="宋体" w:eastAsia="黑体"/>
          <w:b/>
          <w:bCs/>
          <w:sz w:val="24"/>
          <w:szCs w:val="24"/>
        </w:rPr>
        <w:t>1 抽样方法</w:t>
      </w:r>
    </w:p>
    <w:p>
      <w:pPr>
        <w:spacing w:line="440" w:lineRule="exact"/>
        <w:ind w:firstLine="440" w:firstLineChars="200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以随机抽样的方式在被抽样生产者、销售者的待销产品中抽取。</w:t>
      </w:r>
    </w:p>
    <w:p>
      <w:pPr>
        <w:spacing w:line="440" w:lineRule="exact"/>
        <w:ind w:firstLine="440" w:firstLineChars="200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随机数一般可使用随机数表等方法产生。</w:t>
      </w:r>
    </w:p>
    <w:p>
      <w:pPr>
        <w:spacing w:line="440" w:lineRule="exact"/>
        <w:ind w:firstLine="440" w:firstLineChars="200"/>
        <w:rPr>
          <w:rFonts w:hint="eastAsia" w:ascii="宋体" w:hAnsi="宋体"/>
          <w:color w:val="000000"/>
          <w:szCs w:val="21"/>
          <w:lang w:val="en-US" w:eastAsia="zh-CN"/>
        </w:rPr>
      </w:pPr>
      <w:r>
        <w:rPr>
          <w:rFonts w:hint="eastAsia" w:ascii="宋体" w:hAnsi="宋体"/>
          <w:color w:val="000000"/>
          <w:szCs w:val="21"/>
          <w:lang w:val="en-US" w:eastAsia="zh-CN"/>
        </w:rPr>
        <w:t>滴灌带产品（单翼迷宫式滴灌带、内镶式滴灌带）每批次随机抽取完整包装的样品1卷（每卷长度大于等于1000米），现场将抽取到的1卷滴灌带去除外表层10米后，截取两份300米长的样品，分别标记为1号和2号，其中1号作为检验样品，2号作为备用样品。</w:t>
      </w:r>
    </w:p>
    <w:p>
      <w:pPr>
        <w:snapToGrid w:val="0"/>
        <w:spacing w:line="440" w:lineRule="exact"/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  <w:t>2 检验依据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right="0"/>
        <w:jc w:val="center"/>
        <w:textAlignment w:val="auto"/>
        <w:rPr>
          <w:rFonts w:hint="eastAsia" w:ascii="宋体" w:hAnsi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right="0"/>
        <w:jc w:val="center"/>
        <w:textAlignment w:val="auto"/>
        <w:rPr>
          <w:rFonts w:hint="eastAsia" w:ascii="宋体" w:hAnsi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/>
          <w:b/>
          <w:bCs/>
          <w:color w:val="000000"/>
          <w:szCs w:val="21"/>
          <w:lang w:val="en-US" w:eastAsia="zh-CN"/>
        </w:rPr>
        <w:t>表1 单翼迷宫式滴灌带</w:t>
      </w:r>
    </w:p>
    <w:tbl>
      <w:tblPr>
        <w:tblStyle w:val="5"/>
        <w:tblpPr w:leftFromText="180" w:rightFromText="180" w:vertAnchor="text" w:horzAnchor="page" w:tblpXSpec="center" w:tblpY="232"/>
        <w:tblOverlap w:val="never"/>
        <w:tblW w:w="93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5"/>
        <w:gridCol w:w="3708"/>
        <w:gridCol w:w="4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bookmarkStart w:id="0" w:name="OLE_LINK1"/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检验项目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检验方法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eastAsia" w:ascii="宋体" w:hAnsi="宋体" w:eastAsia="宋体"/>
                <w:bCs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外观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bookmarkStart w:id="1" w:name="OLE_LINK5"/>
            <w:r>
              <w:rPr>
                <w:rFonts w:hint="eastAsia"/>
                <w:lang w:val="en-US" w:eastAsia="zh-CN"/>
              </w:rPr>
              <w:t>GB/T 19812.1-2017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不透光性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color w:val="000000"/>
                <w:szCs w:val="21"/>
              </w:rPr>
              <w:t>内径</w:t>
            </w:r>
            <w:r>
              <w:rPr>
                <w:rFonts w:hint="eastAsia" w:ascii="宋体" w:hAnsi="宋体" w:eastAsia="宋体"/>
                <w:color w:val="000000"/>
                <w:szCs w:val="21"/>
                <w:lang w:eastAsia="zh-CN"/>
              </w:rPr>
              <w:t>极限偏差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eastAsia="宋体"/>
                <w:color w:val="000000"/>
                <w:szCs w:val="21"/>
              </w:rPr>
            </w:pPr>
            <w:r>
              <w:rPr>
                <w:rFonts w:ascii="宋体" w:hAnsi="宋体" w:eastAsia="宋体"/>
                <w:bCs/>
                <w:color w:val="000000"/>
                <w:kern w:val="0"/>
                <w:szCs w:val="21"/>
              </w:rPr>
              <w:t>壁厚</w:t>
            </w:r>
            <w:r>
              <w:rPr>
                <w:rFonts w:hint="eastAsia" w:ascii="宋体" w:hAnsi="宋体" w:eastAsia="宋体"/>
                <w:bCs/>
                <w:color w:val="000000"/>
                <w:kern w:val="0"/>
                <w:szCs w:val="21"/>
                <w:lang w:eastAsia="zh-CN"/>
              </w:rPr>
              <w:t>极限偏差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/>
                <w:bCs/>
                <w:color w:val="000000"/>
                <w:kern w:val="0"/>
                <w:szCs w:val="21"/>
              </w:rPr>
              <w:t>滴水孔间距偏差</w:t>
            </w:r>
            <w:r>
              <w:rPr>
                <w:rFonts w:hint="eastAsia" w:ascii="宋体" w:hAnsi="宋体" w:eastAsia="宋体"/>
                <w:bCs/>
                <w:color w:val="000000"/>
                <w:kern w:val="0"/>
                <w:szCs w:val="21"/>
              </w:rPr>
              <w:t>率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kern w:val="0"/>
                <w:szCs w:val="21"/>
                <w:lang w:eastAsia="zh-CN"/>
              </w:rPr>
              <w:t>流量均匀性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auto"/>
                <w:kern w:val="0"/>
                <w:szCs w:val="21"/>
                <w:lang w:eastAsia="zh-CN"/>
              </w:rPr>
              <w:t>耐水压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kern w:val="0"/>
                <w:szCs w:val="21"/>
                <w:lang w:val="en-US" w:eastAsia="zh-CN"/>
              </w:rPr>
              <w:t>爆破压力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耐拉拔性能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8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kern w:val="0"/>
                <w:szCs w:val="21"/>
                <w:lang w:eastAsia="zh-CN"/>
              </w:rPr>
              <w:t>炭黑含量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13021-1991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2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kern w:val="0"/>
                <w:szCs w:val="21"/>
                <w:lang w:eastAsia="zh-CN"/>
              </w:rPr>
              <w:t>炭黑分散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18251-2000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bCs/>
                <w:color w:val="000000"/>
                <w:kern w:val="0"/>
                <w:szCs w:val="21"/>
                <w:lang w:eastAsia="zh-CN"/>
              </w:rPr>
              <w:t>氧化诱导时间</w:t>
            </w:r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19466.6-2009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5" w:hRule="atLeast"/>
          <w:jc w:val="center"/>
        </w:trPr>
        <w:tc>
          <w:tcPr>
            <w:tcW w:w="1425" w:type="dxa"/>
            <w:noWrap w:val="0"/>
            <w:vAlign w:val="center"/>
          </w:tcPr>
          <w:p>
            <w:pPr>
              <w:adjustRightInd w:val="0"/>
              <w:snapToGrid w:val="0"/>
              <w:ind w:right="142"/>
              <w:jc w:val="center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bookmarkStart w:id="2" w:name="OLE_LINK6" w:colFirst="1" w:colLast="2"/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3708" w:type="dxa"/>
            <w:noWrap w:val="0"/>
            <w:vAlign w:val="center"/>
          </w:tcPr>
          <w:p>
            <w:pPr>
              <w:adjustRightInd w:val="0"/>
              <w:snapToGrid w:val="0"/>
              <w:ind w:right="142" w:rightChars="0"/>
              <w:jc w:val="center"/>
              <w:rPr>
                <w:rFonts w:hint="eastAsia" w:ascii="宋体" w:hAnsi="宋体" w:eastAsia="宋体"/>
                <w:bCs/>
                <w:color w:val="000000"/>
                <w:kern w:val="0"/>
                <w:szCs w:val="21"/>
                <w:lang w:eastAsia="zh-CN"/>
              </w:rPr>
            </w:pPr>
            <w:bookmarkStart w:id="3" w:name="OLE_LINK4"/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抗泥沙堵塞性能</w:t>
            </w:r>
            <w:bookmarkEnd w:id="3"/>
          </w:p>
        </w:tc>
        <w:tc>
          <w:tcPr>
            <w:tcW w:w="4187" w:type="dxa"/>
            <w:noWrap w:val="0"/>
            <w:vAlign w:val="center"/>
          </w:tcPr>
          <w:p>
            <w:pPr>
              <w:snapToGrid w:val="0"/>
              <w:spacing w:line="300" w:lineRule="exact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GB/T 19812.1-2017</w:t>
            </w:r>
          </w:p>
        </w:tc>
      </w:tr>
      <w:bookmarkEnd w:id="0"/>
      <w:bookmarkEnd w:id="2"/>
    </w:tbl>
    <w:p>
      <w:pPr>
        <w:snapToGrid w:val="0"/>
        <w:spacing w:line="440" w:lineRule="exact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bookmarkStart w:id="6" w:name="_GoBack"/>
      <w:bookmarkEnd w:id="6"/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注：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</w:t>
      </w:r>
      <w:r>
        <w:rPr>
          <w:rFonts w:hint="eastAsia" w:ascii="宋体" w:hAnsi="宋体" w:cs="宋体"/>
          <w:b/>
          <w:bCs/>
          <w:sz w:val="21"/>
          <w:szCs w:val="21"/>
          <w:lang w:val="en-US" w:eastAsia="zh-CN"/>
        </w:rPr>
        <w:t>、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在所抽取的样品中随机抽取40%的样品进行抗泥沙堵塞性能的检验。</w:t>
      </w:r>
    </w:p>
    <w:p>
      <w:pPr>
        <w:snapToGrid w:val="0"/>
        <w:spacing w:line="44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2、执行企业标准、团体标准、地方标准的产品，检验项目参照上述内容执行。</w:t>
      </w:r>
    </w:p>
    <w:p>
      <w:pPr>
        <w:snapToGrid w:val="0"/>
        <w:spacing w:line="440" w:lineRule="exact"/>
        <w:ind w:firstLine="420" w:firstLineChars="200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3、凡是注日期的文件，其随后所有的修改单（不包括勘误的内容）或修订版不适用于本细则。凡是不注日期的文件，其最新版本适用于本细则。</w:t>
      </w:r>
    </w:p>
    <w:p>
      <w:pPr>
        <w:snapToGrid w:val="0"/>
        <w:spacing w:line="440" w:lineRule="exact"/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  <w:t>3判定规则</w:t>
      </w:r>
    </w:p>
    <w:p>
      <w:pPr>
        <w:snapToGrid w:val="0"/>
        <w:spacing w:line="440" w:lineRule="exact"/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  <w:t>3.1 依据标准</w:t>
      </w:r>
    </w:p>
    <w:p>
      <w:pPr>
        <w:snapToGrid w:val="0"/>
        <w:spacing w:line="440" w:lineRule="exact"/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  <w:t>GB/T 19812.1-2017 塑料节水灌溉器材 第1部分：单翼迷宫式滴灌带</w:t>
      </w:r>
    </w:p>
    <w:p>
      <w:pPr>
        <w:snapToGrid w:val="0"/>
        <w:spacing w:line="440" w:lineRule="exact"/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  <w:t>GB/T 19812.3-2017 塑料节水灌溉器材 第3部分：内镶式滴灌管及滴灌带</w:t>
      </w:r>
    </w:p>
    <w:p>
      <w:pPr>
        <w:snapToGrid w:val="0"/>
        <w:spacing w:line="440" w:lineRule="exact"/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  <w:t>现行有效的企业标准、团体标准、地方标准及产品明示质量要求</w:t>
      </w:r>
    </w:p>
    <w:p>
      <w:pPr>
        <w:snapToGrid w:val="0"/>
        <w:spacing w:line="440" w:lineRule="exact"/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  <w:t>3.2判定原则</w:t>
      </w:r>
    </w:p>
    <w:p>
      <w:pPr>
        <w:snapToGrid w:val="0"/>
        <w:spacing w:line="440" w:lineRule="exact"/>
        <w:ind w:firstLine="480" w:firstLineChars="200"/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  <w:t>经检验，检验项目全部合格，判定为被抽查产品所检项目未发现不合格；检验项目中任一项或一项以上不合格，判定为被抽查产品不合格。</w:t>
      </w:r>
    </w:p>
    <w:p>
      <w:pPr>
        <w:snapToGrid w:val="0"/>
        <w:spacing w:line="440" w:lineRule="exact"/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bCs/>
          <w:sz w:val="24"/>
          <w:szCs w:val="24"/>
          <w:lang w:val="en-US" w:eastAsia="zh-CN"/>
        </w:rPr>
        <w:t>3.3结论用语</w:t>
      </w:r>
    </w:p>
    <w:p>
      <w:pPr>
        <w:snapToGrid w:val="0"/>
        <w:spacing w:line="440" w:lineRule="exact"/>
        <w:ind w:firstLine="480" w:firstLineChars="200"/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  <w:t>经抽样检验，所检项目符合×××标准，依据《</w:t>
      </w:r>
      <w:bookmarkStart w:id="4" w:name="OLE_LINK7"/>
      <w:bookmarkStart w:id="5" w:name="OLE_LINK3"/>
      <w:r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  <w:t>裕民县</w:t>
      </w:r>
      <w:bookmarkEnd w:id="4"/>
      <w:r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  <w:t>滴灌带产品质量监督抽查实施细则（2025年版）</w:t>
      </w:r>
      <w:bookmarkEnd w:id="5"/>
      <w:r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  <w:t>》，判此次抽查所检项目未发现不合格。</w:t>
      </w:r>
    </w:p>
    <w:p>
      <w:pPr>
        <w:pStyle w:val="4"/>
        <w:widowControl/>
        <w:shd w:val="clear" w:color="auto" w:fill="FFFFFF"/>
        <w:spacing w:before="0" w:beforeAutospacing="0" w:after="0" w:afterAutospacing="0" w:line="440" w:lineRule="exact"/>
        <w:ind w:firstLine="480" w:firstLineChars="200"/>
        <w:jc w:val="both"/>
        <w:rPr>
          <w:rFonts w:hint="default" w:ascii="宋体" w:hAnsi="宋体" w:eastAsia="黑体"/>
          <w:b w:val="0"/>
          <w:bCs w:val="0"/>
          <w:szCs w:val="21"/>
          <w:lang w:val="en-US" w:eastAsia="zh-CN"/>
        </w:rPr>
      </w:pPr>
      <w:r>
        <w:rPr>
          <w:rFonts w:hint="eastAsia" w:ascii="黑体" w:hAnsi="宋体" w:eastAsia="黑体"/>
          <w:b w:val="0"/>
          <w:bCs w:val="0"/>
          <w:sz w:val="24"/>
          <w:szCs w:val="24"/>
          <w:lang w:val="en-US" w:eastAsia="zh-CN"/>
        </w:rPr>
        <w:t>经抽样检验，×××项目不符合××标准，依据《裕民县滴灌带产品质量监督抽查实施细则（2025年版）》，判此次抽查不合格（有不合格项时）。</w:t>
      </w:r>
    </w:p>
    <w:p>
      <w:pPr>
        <w:keepNext w:val="0"/>
        <w:keepLines w:val="0"/>
        <w:pageBreakBefore w:val="0"/>
        <w:tabs>
          <w:tab w:val="left" w:pos="2664"/>
        </w:tabs>
        <w:kinsoku/>
        <w:wordWrap/>
        <w:overflowPunct/>
        <w:topLinePunct w:val="0"/>
        <w:bidi w:val="0"/>
        <w:adjustRightInd/>
        <w:snapToGrid/>
        <w:spacing w:before="0"/>
        <w:jc w:val="both"/>
        <w:textAlignment w:val="auto"/>
        <w:rPr>
          <w:rFonts w:hint="eastAsia" w:ascii="仿宋_GB2312" w:hAnsi="仿宋_GB2312" w:eastAsia="仿宋_GB2312" w:cs="仿宋_GB2312"/>
          <w:color w:val="000000"/>
          <w:w w:val="100"/>
          <w:sz w:val="32"/>
          <w:szCs w:val="32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  <w:embedRegular r:id="rId1" w:fontKey="{B9AA3571-A997-437B-8FE8-6857549A30F3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C48B9ABC-5F52-4335-98EF-9F5213592AE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E4B0C8E-B970-4B03-8744-08B3D34AAE0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E4E60A6B-CE86-4E20-A99A-C6542423EA6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91EA26D2-1964-450C-8CDC-7413C1D18C09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59947C9D-79E5-4D76-9A27-DABEB4D2B6C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E29A3DDF-BF0D-4438-9719-BB36B8ADB3D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9A7E8104-B76D-4C62-95A6-154F43D5B7A9}"/>
  </w:font>
  <w:font w:name="ABSEKN+FangSong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62E76965-1881-4F75-9A30-B95F401E998E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10" w:fontKey="{4302117A-5D9A-4255-A70B-3E47060CC56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FCDF3824-9929-41C2-9B9E-8922989BDC01}"/>
  </w:font>
  <w:font w:name="方正仿宋简体">
    <w:altName w:val="微软雅黑"/>
    <w:panose1 w:val="02000000000000000000"/>
    <w:charset w:val="86"/>
    <w:family w:val="auto"/>
    <w:pitch w:val="default"/>
    <w:sig w:usb0="00000000" w:usb1="00000000" w:usb2="00000012" w:usb3="00000000" w:csb0="00040001" w:csb1="00000000"/>
    <w:embedRegular r:id="rId12" w:fontKey="{5D7F31AB-FC8C-4D35-AEC1-7F118C8E890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3" w:fontKey="{284D6DE3-1914-4DA2-A7B1-1C70AD991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R1yZa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42277"/>
    <w:rsid w:val="00BA5B2D"/>
    <w:rsid w:val="08A937E8"/>
    <w:rsid w:val="0A037BCB"/>
    <w:rsid w:val="0DC05A59"/>
    <w:rsid w:val="12A36FFB"/>
    <w:rsid w:val="15A53AA4"/>
    <w:rsid w:val="193F1658"/>
    <w:rsid w:val="1A755BC1"/>
    <w:rsid w:val="1AD36A1F"/>
    <w:rsid w:val="1ED45873"/>
    <w:rsid w:val="21956AA8"/>
    <w:rsid w:val="23456222"/>
    <w:rsid w:val="2475795B"/>
    <w:rsid w:val="2BC060A5"/>
    <w:rsid w:val="2E3F60E2"/>
    <w:rsid w:val="38EC4C82"/>
    <w:rsid w:val="3AB1725D"/>
    <w:rsid w:val="3AC81FDA"/>
    <w:rsid w:val="3C971A8B"/>
    <w:rsid w:val="46246CEA"/>
    <w:rsid w:val="4F3F1C72"/>
    <w:rsid w:val="4F8A71A0"/>
    <w:rsid w:val="532E4159"/>
    <w:rsid w:val="554B72C2"/>
    <w:rsid w:val="565021B1"/>
    <w:rsid w:val="56B44B96"/>
    <w:rsid w:val="6E526038"/>
    <w:rsid w:val="72DF7F8B"/>
    <w:rsid w:val="769F73E3"/>
    <w:rsid w:val="7BC3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qFormat="1" w:unhideWhenUsed="0" w:uiPriority="0" w:name="No Lis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7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bidi="ar-SA"/>
    </w:rPr>
  </w:style>
  <w:style w:type="character" w:default="1" w:styleId="7">
    <w:name w:val="Default Paragraph Font"/>
    <w:link w:val="1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8">
    <w:name w:val="No List"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/>
      <w:kern w:val="0"/>
      <w:sz w:val="18"/>
      <w:szCs w:val="2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table" w:customStyle="1" w:styleId="9">
    <w:name w:val="Table Normal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e-iceblue</Company>
  <Pages>3</Pages>
  <Words>106</Words>
  <Characters>1608</Characters>
  <Lines>77</Lines>
  <Paragraphs>77</Paragraphs>
  <TotalTime>3</TotalTime>
  <ScaleCrop>false</ScaleCrop>
  <LinksUpToDate>false</LinksUpToDate>
  <CharactersWithSpaces>1636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2024-01-03T04:11:00Z</dcterms:created>
  <dc:creator>root</dc:creator>
  <cp:lastModifiedBy>Administrator</cp:lastModifiedBy>
  <cp:lastPrinted>2025-01-22T05:05:00Z</cp:lastPrinted>
  <dcterms:modified xsi:type="dcterms:W3CDTF">2025-01-24T02:14:15Z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