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7215">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Style w:val="12"/>
          <w:rFonts w:hint="eastAsia" w:ascii="方正小标宋简体" w:hAnsi="方正小标宋简体" w:eastAsia="方正小标宋简体" w:cs="方正小标宋简体"/>
          <w:b/>
          <w:bCs w:val="0"/>
          <w:i w:val="0"/>
          <w:iCs w:val="0"/>
          <w:caps w:val="0"/>
          <w:color w:val="000000"/>
          <w:spacing w:val="0"/>
          <w:kern w:val="2"/>
          <w:sz w:val="44"/>
          <w:szCs w:val="44"/>
          <w:shd w:val="clear" w:color="auto" w:fill="FFFFFF"/>
          <w:lang w:val="en-US" w:eastAsia="zh-CN" w:bidi="ar-SA"/>
        </w:rPr>
      </w:pPr>
      <w:r>
        <w:rPr>
          <w:rStyle w:val="12"/>
          <w:rFonts w:hint="eastAsia" w:ascii="方正小标宋简体" w:hAnsi="方正小标宋简体" w:eastAsia="方正小标宋简体" w:cs="方正小标宋简体"/>
          <w:b/>
          <w:bCs w:val="0"/>
          <w:i w:val="0"/>
          <w:iCs w:val="0"/>
          <w:caps w:val="0"/>
          <w:color w:val="000000"/>
          <w:spacing w:val="0"/>
          <w:kern w:val="2"/>
          <w:sz w:val="44"/>
          <w:szCs w:val="44"/>
          <w:shd w:val="clear" w:color="auto" w:fill="FFFFFF"/>
          <w:lang w:val="en-US" w:eastAsia="zh-CN" w:bidi="ar-SA"/>
        </w:rPr>
        <w:t xml:space="preserve">   </w:t>
      </w:r>
      <w:bookmarkStart w:id="0" w:name="_GoBack"/>
      <w:r>
        <w:rPr>
          <w:rStyle w:val="12"/>
          <w:rFonts w:hint="eastAsia" w:ascii="方正小标宋简体" w:hAnsi="方正小标宋简体" w:eastAsia="方正小标宋简体" w:cs="方正小标宋简体"/>
          <w:b/>
          <w:bCs w:val="0"/>
          <w:i w:val="0"/>
          <w:iCs w:val="0"/>
          <w:caps w:val="0"/>
          <w:color w:val="000000"/>
          <w:spacing w:val="0"/>
          <w:kern w:val="2"/>
          <w:sz w:val="44"/>
          <w:szCs w:val="44"/>
          <w:shd w:val="clear" w:color="auto" w:fill="FFFFFF"/>
          <w:lang w:val="en-US" w:eastAsia="zh-CN" w:bidi="ar-SA"/>
        </w:rPr>
        <w:t>裕民县教体局2024年度法治政府建设</w:t>
      </w:r>
    </w:p>
    <w:p w14:paraId="0F561CFC">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Style w:val="12"/>
          <w:rFonts w:hint="eastAsia" w:ascii="方正小标宋简体" w:hAnsi="方正小标宋简体" w:eastAsia="方正小标宋简体" w:cs="方正小标宋简体"/>
          <w:b/>
          <w:bCs w:val="0"/>
          <w:i w:val="0"/>
          <w:iCs w:val="0"/>
          <w:caps w:val="0"/>
          <w:color w:val="000000"/>
          <w:spacing w:val="0"/>
          <w:kern w:val="2"/>
          <w:sz w:val="44"/>
          <w:szCs w:val="44"/>
          <w:shd w:val="clear" w:color="auto" w:fill="FFFFFF"/>
          <w:lang w:val="en-US" w:eastAsia="zh-CN" w:bidi="ar-SA"/>
        </w:rPr>
      </w:pPr>
      <w:r>
        <w:rPr>
          <w:rStyle w:val="12"/>
          <w:rFonts w:hint="eastAsia" w:ascii="方正小标宋简体" w:hAnsi="方正小标宋简体" w:eastAsia="方正小标宋简体" w:cs="方正小标宋简体"/>
          <w:b/>
          <w:bCs w:val="0"/>
          <w:i w:val="0"/>
          <w:iCs w:val="0"/>
          <w:caps w:val="0"/>
          <w:color w:val="000000"/>
          <w:spacing w:val="0"/>
          <w:kern w:val="2"/>
          <w:sz w:val="44"/>
          <w:szCs w:val="44"/>
          <w:shd w:val="clear" w:color="auto" w:fill="FFFFFF"/>
          <w:lang w:val="en-US" w:eastAsia="zh-CN" w:bidi="ar-SA"/>
        </w:rPr>
        <w:t>工作总结</w:t>
      </w:r>
    </w:p>
    <w:bookmarkEnd w:id="0"/>
    <w:p w14:paraId="6BA163E3">
      <w:pPr>
        <w:pStyle w:val="2"/>
        <w:keepNext w:val="0"/>
        <w:keepLines w:val="0"/>
        <w:pageBreakBefore w:val="0"/>
        <w:widowControl/>
        <w:kinsoku/>
        <w:wordWrap/>
        <w:overflowPunct/>
        <w:topLinePunct w:val="0"/>
        <w:autoSpaceDE/>
        <w:autoSpaceDN/>
        <w:bidi w:val="0"/>
        <w:adjustRightInd w:val="0"/>
        <w:snapToGrid w:val="0"/>
        <w:spacing w:after="200" w:line="560" w:lineRule="exact"/>
        <w:ind w:left="0" w:leftChars="0" w:right="0" w:rightChars="0" w:firstLine="0" w:firstLineChars="0"/>
        <w:jc w:val="left"/>
        <w:textAlignment w:val="auto"/>
        <w:rPr>
          <w:rFonts w:hint="eastAsia" w:ascii="仿宋_GB2312" w:hAnsi="仿宋_GB2312" w:eastAsia="仿宋_GB2312" w:cs="仿宋_GB2312"/>
          <w:b w:val="0"/>
          <w:bCs/>
          <w:sz w:val="32"/>
          <w:szCs w:val="32"/>
          <w:lang w:val="en-US" w:eastAsia="zh-CN"/>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裕民县人民政府：</w:t>
      </w:r>
    </w:p>
    <w:p w14:paraId="35DF1C62">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按照县政府要求，现将裕民县教体局2024年度推进法治政府建设情况总结如下：</w:t>
      </w:r>
    </w:p>
    <w:p w14:paraId="63EDC80B">
      <w:pPr>
        <w:keepNext/>
        <w:keepLines w:val="0"/>
        <w:pageBreakBefore w:val="0"/>
        <w:widowControl w:val="0"/>
        <w:numPr>
          <w:ilvl w:val="0"/>
          <w:numId w:val="1"/>
        </w:numPr>
        <w:kinsoku w:val="0"/>
        <w:wordWrap w:val="0"/>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工作开展情况</w:t>
      </w:r>
    </w:p>
    <w:p w14:paraId="4E5C0CED">
      <w:pPr>
        <w:keepNext/>
        <w:keepLines w:val="0"/>
        <w:pageBreakBefore w:val="0"/>
        <w:widowControl w:val="0"/>
        <w:numPr>
          <w:ilvl w:val="0"/>
          <w:numId w:val="2"/>
        </w:numPr>
        <w:kinsoku w:val="0"/>
        <w:wordWrap w:val="0"/>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加强组织领导。深入推进全面依法治县任务落实落细，及时调整优化教体局法治政府建设工作领导小组，明确责任分工，做到领导有力、职责明确、规范有序，全面推动法治政府建设工作向纵深发展。认真贯彻自治区落实法治政府建设要求，准确把握法治政府建设在全面依法治国中的战略地位，细化分解法治政府建设工作责任，主要领导严格履行“第一责任人”责任，以身作则，安排部署本年度法治政府建设相关工作，自觉把主体责任扛在肩上。各科室按照责任清单主动认领法治政府建设任务。主要领导不定期听取各项工作完成情况，确保法治政府建设工作落实落地。认真学习贯彻习近平总书记关于法治政府建设的重要指示精神，推动法治学习常态化，进一步健全全体工作人员学法制度。 </w:t>
      </w:r>
    </w:p>
    <w:p w14:paraId="322F0B34">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积极推进部门权责清单标准化建设。完成“权责清单”的编制及修订工作，2024年，按照县政府“权责清单”动态调整要求，县教体局调整“权责清单”一次，调整后，本部门权责事项为56项，其中：行政许可9项、行政确认5项、行政处罚20项、行政给付1项、行政奖励7项、行政检查6项、其他类8项。</w:t>
      </w:r>
    </w:p>
    <w:p w14:paraId="2CA22C97">
      <w:pPr>
        <w:keepNext/>
        <w:keepLines w:val="0"/>
        <w:pageBreakBefore w:val="0"/>
        <w:widowControl w:val="0"/>
        <w:numPr>
          <w:ilvl w:val="0"/>
          <w:numId w:val="0"/>
        </w:numPr>
        <w:kinsoku w:val="0"/>
        <w:wordWrap w:val="0"/>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（三）建章立制，完善管理。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教育系统</w:t>
      </w:r>
      <w:r>
        <w:rPr>
          <w:rFonts w:hint="eastAsia" w:ascii="仿宋_GB2312" w:hAnsi="仿宋_GB2312" w:eastAsia="仿宋_GB2312" w:cs="仿宋_GB2312"/>
          <w:color w:val="000000" w:themeColor="text1"/>
          <w:sz w:val="32"/>
          <w:szCs w:val="32"/>
          <w14:textFill>
            <w14:solidFill>
              <w14:schemeClr w14:val="tx1"/>
            </w14:solidFill>
          </w14:textFill>
        </w:rPr>
        <w:t>注重依法建制，逐步建立、完善了学校内部管理制度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明确了学校各中层干部、教职工岗位职责。为强化学校内部规范管理，学校依据《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教育法</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教师法</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未成年人保护法》和上级行政部门、业务部门的具体要求及其他有关部门教育法律、法规，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了《学校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规章制度汇编</w:t>
      </w:r>
      <w:r>
        <w:rPr>
          <w:rFonts w:hint="eastAsia" w:ascii="仿宋_GB2312" w:hAnsi="仿宋_GB2312" w:eastAsia="仿宋_GB2312" w:cs="仿宋_GB2312"/>
          <w:color w:val="000000" w:themeColor="text1"/>
          <w:sz w:val="32"/>
          <w:szCs w:val="32"/>
          <w14:textFill>
            <w14:solidFill>
              <w14:schemeClr w14:val="tx1"/>
            </w14:solidFill>
          </w14:textFill>
        </w:rPr>
        <w:t>》，并认真遵照执行。制度的建立和不断完善适应了学校在新形势下管理的需要，有力地推进法制建设工作，形成了学校优良的校风、教风和学风。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班子带头学习法律法规，在管理各个环节上都坚持严格要求依法治校，坚持理论联系实际。对教职工的政治素养和执行政策法规的能力提出了更高要求，积极炼就一支带头学法、用法、守法，勇挑重担，作风过硬的优秀管理队伍，为推进教育系统依法治校起到带头作用。</w:t>
      </w:r>
    </w:p>
    <w:p w14:paraId="534BBB20">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（四）丰富活动形式，积极开展法治宣传。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各学校结合“3.8”国际妇女节、“3.12”植树节、“3.15”消费者权益保护日、“3.24”世界防结核病日、“3.29”全国中小学安全教育日、“4.15”全民国家安全教育日、“4.26”知识产权日、5月</w:t>
      </w: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民法典宣传月活动、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“5.15”家庭教育宣传周、“6.1”儿童节、“9.10”教师节、开学第一课、“12.4”宪法宣传日等重要时间节点开展了手抄报、主题班会、绘画、实践活动、专题宣讲等法治宣传活动，鼓励学生</w:t>
      </w:r>
      <w:r>
        <w:rPr>
          <w:rFonts w:hint="eastAsia" w:ascii="仿宋_GB2312" w:hAnsi="仿宋_GB2312" w:eastAsia="仿宋_GB2312" w:cs="仿宋_GB2312"/>
          <w:sz w:val="32"/>
          <w:szCs w:val="32"/>
          <w:lang w:val="en-US" w:eastAsia="zh-CN"/>
        </w:rPr>
        <w:t>积极参加全国学生“学宪法 讲宪法”活动，“宪法卫士”网络学习，学生参与总数达4915人，参与率达81%。</w:t>
      </w:r>
    </w:p>
    <w:p w14:paraId="4CAEF872">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（五）充分发挥法治副校长职能优势，加强法治宣传教育。</w:t>
      </w:r>
      <w:r>
        <w:rPr>
          <w:rFonts w:hint="eastAsia" w:ascii="仿宋_GB2312" w:hAnsi="仿宋_GB2312" w:eastAsia="仿宋_GB2312" w:cs="仿宋_GB2312"/>
          <w:sz w:val="32"/>
          <w:szCs w:val="32"/>
          <w:lang w:val="en-US" w:eastAsia="zh-CN"/>
        </w:rPr>
        <w:t>调整配备法治副校长14人，各学校定期邀请法治副校长进校园开展各种形式的法治教育、普法宣传。截至目前，</w:t>
      </w:r>
      <w:r>
        <w:rPr>
          <w:rFonts w:hint="eastAsia" w:ascii="CESI仿宋-GB2312" w:hAnsi="CESI仿宋-GB2312" w:eastAsia="CESI仿宋-GB2312" w:cs="CESI仿宋-GB2312"/>
          <w:b w:val="0"/>
          <w:bCs w:val="0"/>
          <w:sz w:val="32"/>
          <w:szCs w:val="32"/>
          <w:lang w:eastAsia="zh-CN"/>
        </w:rPr>
        <w:t>法制副校长到校进行“预防青少年违法犯罪”“去极端化法制教育”“法制进校园”“预防网络诈骗”等内容专题讲座宣讲</w:t>
      </w:r>
      <w:r>
        <w:rPr>
          <w:rFonts w:hint="eastAsia" w:ascii="CESI仿宋-GB2312" w:hAnsi="CESI仿宋-GB2312" w:eastAsia="CESI仿宋-GB2312" w:cs="CESI仿宋-GB2312"/>
          <w:b w:val="0"/>
          <w:bCs w:val="0"/>
          <w:sz w:val="32"/>
          <w:szCs w:val="32"/>
          <w:lang w:val="en-US" w:eastAsia="zh-CN"/>
        </w:rPr>
        <w:t>22</w:t>
      </w:r>
      <w:r>
        <w:rPr>
          <w:rFonts w:hint="eastAsia" w:ascii="CESI仿宋-GB2312" w:hAnsi="CESI仿宋-GB2312" w:eastAsia="CESI仿宋-GB2312" w:cs="CESI仿宋-GB2312"/>
          <w:b w:val="0"/>
          <w:bCs w:val="0"/>
          <w:sz w:val="32"/>
          <w:szCs w:val="32"/>
          <w:lang w:eastAsia="zh-CN"/>
        </w:rPr>
        <w:t>场次，召开预防学生参与“两卡”犯罪工作培训24场次，开展反诈主题班会400余场次，</w:t>
      </w:r>
      <w:r>
        <w:rPr>
          <w:rFonts w:hint="eastAsia" w:ascii="CESI仿宋-GB2312" w:hAnsi="CESI仿宋-GB2312" w:eastAsia="CESI仿宋-GB2312" w:cs="CESI仿宋-GB2312"/>
          <w:b w:val="0"/>
          <w:bCs w:val="0"/>
          <w:sz w:val="32"/>
          <w:szCs w:val="32"/>
        </w:rPr>
        <w:t>开展</w:t>
      </w:r>
      <w:r>
        <w:rPr>
          <w:rFonts w:hint="eastAsia" w:ascii="CESI仿宋-GB2312" w:hAnsi="CESI仿宋-GB2312" w:eastAsia="CESI仿宋-GB2312" w:cs="CESI仿宋-GB2312"/>
          <w:b w:val="0"/>
          <w:bCs w:val="0"/>
          <w:sz w:val="32"/>
          <w:szCs w:val="32"/>
          <w:lang w:eastAsia="zh-CN"/>
        </w:rPr>
        <w:t>法治讲座覆盖人数</w:t>
      </w:r>
      <w:r>
        <w:rPr>
          <w:rFonts w:hint="eastAsia" w:ascii="CESI仿宋-GB2312" w:hAnsi="CESI仿宋-GB2312" w:eastAsia="CESI仿宋-GB2312" w:cs="CESI仿宋-GB2312"/>
          <w:b w:val="0"/>
          <w:bCs w:val="0"/>
          <w:sz w:val="32"/>
          <w:szCs w:val="32"/>
          <w:lang w:val="en-US" w:eastAsia="zh-CN"/>
        </w:rPr>
        <w:t>3000余人，进行模拟法庭活动6场次，</w:t>
      </w:r>
      <w:r>
        <w:rPr>
          <w:rFonts w:hint="eastAsia" w:ascii="仿宋_GB2312" w:hAnsi="仿宋_GB2312" w:eastAsia="仿宋_GB2312" w:cs="仿宋_GB2312"/>
          <w:sz w:val="32"/>
          <w:szCs w:val="32"/>
        </w:rPr>
        <w:t>有针对性地组织学习了刑法、</w:t>
      </w:r>
      <w:r>
        <w:rPr>
          <w:rFonts w:hint="eastAsia" w:ascii="仿宋_GB2312" w:hAnsi="仿宋_GB2312" w:eastAsia="仿宋_GB2312" w:cs="仿宋_GB2312"/>
          <w:sz w:val="32"/>
          <w:szCs w:val="32"/>
          <w:lang w:eastAsia="zh-CN"/>
        </w:rPr>
        <w:t>宪法、民法典、</w:t>
      </w:r>
      <w:r>
        <w:rPr>
          <w:rFonts w:hint="eastAsia" w:ascii="仿宋_GB2312" w:hAnsi="仿宋_GB2312" w:eastAsia="仿宋_GB2312" w:cs="仿宋_GB2312"/>
          <w:sz w:val="32"/>
          <w:szCs w:val="32"/>
        </w:rPr>
        <w:t>治安管理处罚法、预防未成年人犯罪法、未成年人保护法等法律知识。</w:t>
      </w:r>
    </w:p>
    <w:p w14:paraId="3F3FD45D">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营造良好法治环境。建立依法有序、科学规范、便捷高效的工作流程，全面推行行政执法公示制度、执法全过程记录制度、重大执法决定法治审核制度。各学校扎实开展依法治校活动，充分利用安全教育平台等途径不断加强未成年人违法犯罪、校园暴力欺凌防范教育，做到了师生安全教育常抓不懈。加强电信诈骗预防教育，减少电信诈骗危害。推送恐怖暴力、校园欺凌、电信诈骗预防以及反邪教、禁毒、扫黑除恶等安全信息400余条，开展紧急疏散和自救逃生演练126场次，各学校师生安全防范意识和防范能力全面提升。</w:t>
      </w:r>
    </w:p>
    <w:p w14:paraId="665B109F">
      <w:pPr>
        <w:keepNext/>
        <w:keepLines w:val="0"/>
        <w:pageBreakBefore w:val="0"/>
        <w:widowControl w:val="0"/>
        <w:numPr>
          <w:ilvl w:val="0"/>
          <w:numId w:val="0"/>
        </w:numPr>
        <w:kinsoku w:val="0"/>
        <w:wordWrap w:val="0"/>
        <w:overflowPunct/>
        <w:topLinePunct w:val="0"/>
        <w:autoSpaceDE/>
        <w:autoSpaceDN/>
        <w:bidi w:val="0"/>
        <w:adjustRightInd/>
        <w:snapToGrid/>
        <w:spacing w:after="0" w:line="520" w:lineRule="exact"/>
        <w:ind w:left="0" w:leftChars="0" w:right="0" w:rightChars="0"/>
        <w:jc w:val="both"/>
        <w:textAlignment w:val="auto"/>
        <w:outlineLvl w:val="9"/>
        <w:rPr>
          <w:rFonts w:hint="eastAsia"/>
          <w:color w:val="000000" w:themeColor="text1"/>
          <w:lang w:val="en-US" w:eastAsia="zh-CN"/>
          <w14:textFill>
            <w14:solidFill>
              <w14:schemeClr w14:val="tx1"/>
            </w14:solidFill>
          </w14:textFill>
        </w:rPr>
      </w:pPr>
      <w:r>
        <w:rPr>
          <w:rStyle w:val="12"/>
          <w:rFonts w:hint="eastAsia" w:ascii="仿宋_GB2312" w:hAnsi="仿宋_GB2312" w:eastAsia="仿宋_GB2312" w:cs="仿宋_GB2312"/>
          <w:b w:val="0"/>
          <w:bCs/>
          <w:i w:val="0"/>
          <w:iCs w:val="0"/>
          <w:caps w:val="0"/>
          <w:color w:val="C0504D" w:themeColor="accent2"/>
          <w:spacing w:val="0"/>
          <w:kern w:val="2"/>
          <w:sz w:val="32"/>
          <w:szCs w:val="32"/>
          <w:shd w:val="clear" w:color="auto" w:fill="FFFFFF"/>
          <w:lang w:val="en-US" w:eastAsia="zh-CN" w:bidi="ar-SA"/>
          <w14:textFill>
            <w14:solidFill>
              <w14:schemeClr w14:val="accent2"/>
            </w14:solidFill>
          </w14:textFill>
        </w:rPr>
        <w:t xml:space="preserve">   </w:t>
      </w:r>
      <w:r>
        <w:rPr>
          <w:rStyle w:val="12"/>
          <w:rFonts w:hint="eastAsia" w:ascii="黑体" w:hAnsi="黑体" w:eastAsia="黑体" w:cs="黑体"/>
          <w:b w:val="0"/>
          <w:bCs/>
          <w:i w:val="0"/>
          <w:iCs w:val="0"/>
          <w:caps w:val="0"/>
          <w:color w:val="C0504D" w:themeColor="accent2"/>
          <w:spacing w:val="0"/>
          <w:kern w:val="2"/>
          <w:sz w:val="32"/>
          <w:szCs w:val="32"/>
          <w:shd w:val="clear" w:color="auto" w:fill="FFFFFF"/>
          <w:lang w:val="en-US" w:eastAsia="zh-CN" w:bidi="ar-SA"/>
          <w14:textFill>
            <w14:solidFill>
              <w14:schemeClr w14:val="accent2"/>
            </w14:solidFill>
          </w14:textFill>
        </w:rPr>
        <w:t xml:space="preserve">  </w:t>
      </w:r>
      <w:r>
        <w:rPr>
          <w:rStyle w:val="12"/>
          <w:rFonts w:hint="eastAsia" w:ascii="黑体" w:hAnsi="黑体" w:eastAsia="黑体" w:cs="黑体"/>
          <w:b w:val="0"/>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二、存在的问题</w:t>
      </w:r>
    </w:p>
    <w:p w14:paraId="4E9D3F40">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在推进法治政府建设工作中虽然取得一定成效，但仍存在薄弱环节：一是法治工作队伍建设需要进一步提升，执法人员分散在各业务科室，执法经验不足、专业化程度不高，法治思维观念有待提高</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二是法治学习深度不够，学法形式比较单一，运用法治思维和法治方式推进工作、解决问题的意识和能力有待提高，学用结合仍需加强。</w:t>
      </w:r>
    </w:p>
    <w:p w14:paraId="35D16FCB">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textAlignment w:val="auto"/>
        <w:outlineLvl w:val="9"/>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pPr>
      <w:r>
        <w:rPr>
          <w:rStyle w:val="12"/>
          <w:rFonts w:hint="eastAsia" w:ascii="黑体" w:hAnsi="黑体" w:eastAsia="黑体" w:cs="黑体"/>
          <w:b w:val="0"/>
          <w:bCs/>
          <w:i w:val="0"/>
          <w:iCs w:val="0"/>
          <w:caps w:val="0"/>
          <w:color w:val="000000"/>
          <w:spacing w:val="0"/>
          <w:kern w:val="2"/>
          <w:sz w:val="32"/>
          <w:szCs w:val="32"/>
          <w:shd w:val="clear" w:color="auto" w:fill="FFFFFF"/>
          <w:lang w:val="en-US" w:eastAsia="zh-CN" w:bidi="ar-SA"/>
        </w:rPr>
        <w:t>三、下一步工作思路</w:t>
      </w:r>
    </w:p>
    <w:p w14:paraId="31DC4DEA">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textAlignment w:val="auto"/>
        <w:outlineLvl w:val="9"/>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一）不断提升政治站位。充分认识新时代加强法治建设的重要性，持续深入学习习近平总书记全面依法治国新理念新思想新战略和相关会议精神，坚决贯彻党中央的决策部署，罗列责任清单，明确责任，切实履行好法治政府建设工作职责，以“关键少数”带动“绝大多数”，推动法治政府各项任务落地落实。</w:t>
      </w:r>
    </w:p>
    <w:p w14:paraId="3C9C50F2">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textAlignment w:val="auto"/>
        <w:outlineLvl w:val="9"/>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二）切实提高法治政府建设意识。积极发挥法律顾问、法治副校长的作用，延伸教育领域法治建设的触角，拓展法治建设的参与度，加强对教育执法人员的法律法规、业务知识、职业道德教育和执法检查技能培训。打造一支对党忠诚、纪律严明、作风过硬、业务精湛的执法队伍。</w:t>
      </w:r>
    </w:p>
    <w:p w14:paraId="78BB0B49">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textAlignment w:val="auto"/>
        <w:outlineLvl w:val="9"/>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（三）扎实推动法治政府建设任务落实。对照相关工作要求，进一步明确工作责任，认真查找短板弱项，积极进行查漏补缺，扎实推进任务落实，不断提高科学民主依法决策水平。</w:t>
      </w:r>
    </w:p>
    <w:p w14:paraId="7DE7E3A1">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textAlignment w:val="auto"/>
        <w:outlineLvl w:val="9"/>
        <w:rPr>
          <w:rStyle w:val="12"/>
          <w:rFonts w:hint="default" w:ascii="仿宋_GB2312" w:hAnsi="仿宋_GB2312" w:eastAsia="仿宋_GB2312" w:cs="仿宋_GB2312"/>
          <w:b w:val="0"/>
          <w:bCs/>
          <w:i w:val="0"/>
          <w:iCs w:val="0"/>
          <w:caps w:val="0"/>
          <w:color w:val="000000"/>
          <w:spacing w:val="0"/>
          <w:kern w:val="2"/>
          <w:sz w:val="32"/>
          <w:szCs w:val="32"/>
          <w:shd w:val="clear" w:color="auto" w:fill="FFFFFF"/>
          <w:lang w:val="en-US" w:eastAsia="zh-CN" w:bidi="ar-SA"/>
        </w:rPr>
      </w:pPr>
      <w:r>
        <w:rPr>
          <w:rStyle w:val="12"/>
          <w:rFonts w:hint="eastAsia" w:ascii="仿宋_GB2312" w:hAnsi="仿宋_GB2312" w:eastAsia="仿宋_GB2312" w:cs="仿宋_GB2312"/>
          <w:b w:val="0"/>
          <w:bCs/>
          <w:i w:val="0"/>
          <w:iCs w:val="0"/>
          <w:caps w:val="0"/>
          <w:color w:val="000000"/>
          <w:spacing w:val="0"/>
          <w:kern w:val="2"/>
          <w:sz w:val="32"/>
          <w:szCs w:val="32"/>
          <w:shd w:val="clear" w:color="auto" w:fill="FFFFFF"/>
          <w:lang w:val="en-US" w:eastAsia="zh-CN" w:bidi="ar-SA"/>
        </w:rPr>
        <w:t>（四）进一步加大教育法律法规规章宣传力度。不断创新普法方式，提升干部职工对法治政府建设工作的理解，进一步深化法治政府建设内涵，引导家长参与校园普法教育活动，发挥家庭教育在法治教育中的重要作用，形成社会、家庭、学校法治教育工作合力。</w:t>
      </w:r>
    </w:p>
    <w:p w14:paraId="25DC579F">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裕民县教育和体育局</w:t>
      </w:r>
    </w:p>
    <w:p w14:paraId="07766384">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2024年11月15日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47736-2B52-4E41-AC91-BCE66FC815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E0338B-1520-4F49-90D2-93579CFDFDF2}"/>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embedRegular r:id="rId3" w:fontKey="{305D9CC4-B152-4F42-B1C5-DEABCF2BD3BD}"/>
  </w:font>
  <w:font w:name="方正小标宋简体">
    <w:panose1 w:val="02000000000000000000"/>
    <w:charset w:val="86"/>
    <w:family w:val="auto"/>
    <w:pitch w:val="default"/>
    <w:sig w:usb0="00000001" w:usb1="08000000" w:usb2="00000000" w:usb3="00000000" w:csb0="00040000" w:csb1="00000000"/>
    <w:embedRegular r:id="rId4" w:fontKey="{B4C642DC-2B18-4262-8F4F-28FA9EDFE005}"/>
  </w:font>
  <w:font w:name="仿宋_GB2312">
    <w:panose1 w:val="02010609030101010101"/>
    <w:charset w:val="86"/>
    <w:family w:val="auto"/>
    <w:pitch w:val="default"/>
    <w:sig w:usb0="00000001" w:usb1="080E0000" w:usb2="00000000" w:usb3="00000000" w:csb0="00040000" w:csb1="00000000"/>
    <w:embedRegular r:id="rId5" w:fontKey="{DD6D849F-4BC6-4A47-97F9-9448AE306952}"/>
  </w:font>
  <w:font w:name="CESI仿宋-GB2312">
    <w:altName w:val="仿宋"/>
    <w:panose1 w:val="02000500000000000000"/>
    <w:charset w:val="86"/>
    <w:family w:val="auto"/>
    <w:pitch w:val="default"/>
    <w:sig w:usb0="00000000" w:usb1="00000000" w:usb2="00000010" w:usb3="00000000" w:csb0="0004000F" w:csb1="00000000"/>
    <w:embedRegular r:id="rId6" w:fontKey="{20CD3423-71D9-4B83-9E88-E5A2BE35488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BF429"/>
    <w:multiLevelType w:val="singleLevel"/>
    <w:tmpl w:val="A96BF429"/>
    <w:lvl w:ilvl="0" w:tentative="0">
      <w:start w:val="1"/>
      <w:numFmt w:val="chineseCounting"/>
      <w:suff w:val="nothing"/>
      <w:lvlText w:val="%1、"/>
      <w:lvlJc w:val="left"/>
      <w:rPr>
        <w:rFonts w:hint="eastAsia"/>
      </w:rPr>
    </w:lvl>
  </w:abstractNum>
  <w:abstractNum w:abstractNumId="1">
    <w:nsid w:val="672D908B"/>
    <w:multiLevelType w:val="singleLevel"/>
    <w:tmpl w:val="672D908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GJjZGVlOTc5ZDU5OTUwNDYyODgwNjA1N2QwYWYifQ=="/>
  </w:docVars>
  <w:rsids>
    <w:rsidRoot w:val="00D31D50"/>
    <w:rsid w:val="00323B43"/>
    <w:rsid w:val="003D37D8"/>
    <w:rsid w:val="00426133"/>
    <w:rsid w:val="004358AB"/>
    <w:rsid w:val="005E7B96"/>
    <w:rsid w:val="00846380"/>
    <w:rsid w:val="008B7726"/>
    <w:rsid w:val="00AB41A2"/>
    <w:rsid w:val="00C7510D"/>
    <w:rsid w:val="00D31D50"/>
    <w:rsid w:val="02691DD4"/>
    <w:rsid w:val="02B250DA"/>
    <w:rsid w:val="05374135"/>
    <w:rsid w:val="055C25A6"/>
    <w:rsid w:val="06607D34"/>
    <w:rsid w:val="0739152E"/>
    <w:rsid w:val="081B20CB"/>
    <w:rsid w:val="09B9070C"/>
    <w:rsid w:val="0B3522C8"/>
    <w:rsid w:val="0BBB100F"/>
    <w:rsid w:val="0E22399A"/>
    <w:rsid w:val="100A638A"/>
    <w:rsid w:val="105A1847"/>
    <w:rsid w:val="10E04816"/>
    <w:rsid w:val="1173314E"/>
    <w:rsid w:val="161F262E"/>
    <w:rsid w:val="1754602B"/>
    <w:rsid w:val="17F57957"/>
    <w:rsid w:val="1C956F77"/>
    <w:rsid w:val="21BE2374"/>
    <w:rsid w:val="21C63755"/>
    <w:rsid w:val="22AC6DA8"/>
    <w:rsid w:val="26BC4FCA"/>
    <w:rsid w:val="27BC1BD7"/>
    <w:rsid w:val="27E2569E"/>
    <w:rsid w:val="2938122A"/>
    <w:rsid w:val="2A543953"/>
    <w:rsid w:val="2AF14289"/>
    <w:rsid w:val="2B1440EB"/>
    <w:rsid w:val="2C583D4C"/>
    <w:rsid w:val="2E827A7F"/>
    <w:rsid w:val="3209529E"/>
    <w:rsid w:val="325D50F9"/>
    <w:rsid w:val="33621CC3"/>
    <w:rsid w:val="339172B3"/>
    <w:rsid w:val="372D4972"/>
    <w:rsid w:val="38047E97"/>
    <w:rsid w:val="389658C7"/>
    <w:rsid w:val="3B871599"/>
    <w:rsid w:val="3BD24BA1"/>
    <w:rsid w:val="3C830C0E"/>
    <w:rsid w:val="3DE36F6D"/>
    <w:rsid w:val="40554F9C"/>
    <w:rsid w:val="413F483C"/>
    <w:rsid w:val="42AC1B6D"/>
    <w:rsid w:val="44AF311C"/>
    <w:rsid w:val="45342F13"/>
    <w:rsid w:val="468B762E"/>
    <w:rsid w:val="46C702A6"/>
    <w:rsid w:val="487D2B9F"/>
    <w:rsid w:val="48972AF0"/>
    <w:rsid w:val="4C2E020A"/>
    <w:rsid w:val="4D4E1B32"/>
    <w:rsid w:val="516F5B41"/>
    <w:rsid w:val="53133C56"/>
    <w:rsid w:val="532A16EF"/>
    <w:rsid w:val="54AD78EA"/>
    <w:rsid w:val="557E4D77"/>
    <w:rsid w:val="55DF261A"/>
    <w:rsid w:val="56BA1CC7"/>
    <w:rsid w:val="57A971B1"/>
    <w:rsid w:val="57BC1F24"/>
    <w:rsid w:val="598D3FE9"/>
    <w:rsid w:val="5A5A7413"/>
    <w:rsid w:val="5AC86B4E"/>
    <w:rsid w:val="5D064ED1"/>
    <w:rsid w:val="5E973929"/>
    <w:rsid w:val="5EC004FC"/>
    <w:rsid w:val="5F1F0E01"/>
    <w:rsid w:val="5FA4748C"/>
    <w:rsid w:val="5FC0733C"/>
    <w:rsid w:val="601653D0"/>
    <w:rsid w:val="607E6342"/>
    <w:rsid w:val="60A24097"/>
    <w:rsid w:val="62802642"/>
    <w:rsid w:val="62AB6502"/>
    <w:rsid w:val="64C07D47"/>
    <w:rsid w:val="657B428A"/>
    <w:rsid w:val="65DC1213"/>
    <w:rsid w:val="67BD4A21"/>
    <w:rsid w:val="6807665B"/>
    <w:rsid w:val="68914023"/>
    <w:rsid w:val="69284792"/>
    <w:rsid w:val="6A027DAE"/>
    <w:rsid w:val="6AFE181E"/>
    <w:rsid w:val="6B4A1DE7"/>
    <w:rsid w:val="6DA23B51"/>
    <w:rsid w:val="6DAC0CFD"/>
    <w:rsid w:val="70B57941"/>
    <w:rsid w:val="71B96952"/>
    <w:rsid w:val="734939BC"/>
    <w:rsid w:val="758B11E8"/>
    <w:rsid w:val="765B4B7A"/>
    <w:rsid w:val="769B35A3"/>
    <w:rsid w:val="7703121C"/>
    <w:rsid w:val="776E79E7"/>
    <w:rsid w:val="77B8364E"/>
    <w:rsid w:val="781316E3"/>
    <w:rsid w:val="7844395F"/>
    <w:rsid w:val="78C978B7"/>
    <w:rsid w:val="78F425E3"/>
    <w:rsid w:val="7B6B448C"/>
    <w:rsid w:val="7C61599E"/>
    <w:rsid w:val="7D314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qFormat/>
    <w:uiPriority w:val="0"/>
    <w:pPr>
      <w:keepNext/>
      <w:keepLines/>
      <w:ind w:firstLine="200" w:firstLineChars="200"/>
      <w:outlineLvl w:val="2"/>
    </w:pPr>
    <w:rPr>
      <w:rFonts w:hint="eastAsia" w:ascii="仿宋" w:hAnsi="仿宋"/>
      <w:color w:val="FF0000"/>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Body Text"/>
    <w:basedOn w:val="1"/>
    <w:qFormat/>
    <w:uiPriority w:val="1"/>
    <w:rPr>
      <w:rFonts w:ascii="宋体" w:hAnsi="宋体" w:cs="宋体"/>
      <w:sz w:val="30"/>
      <w:szCs w:val="30"/>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eastAsia="宋体" w:cs="Times New Roman"/>
      <w:szCs w:val="21"/>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paragraph" w:styleId="9">
    <w:name w:val="Body Text First Indent 2"/>
    <w:basedOn w:val="5"/>
    <w:unhideWhenUsed/>
    <w:qFormat/>
    <w:uiPriority w:val="0"/>
    <w:pPr>
      <w:widowControl/>
      <w:ind w:firstLine="420" w:firstLineChars="200"/>
      <w:jc w:val="left"/>
    </w:pPr>
    <w:rPr>
      <w:rFonts w:ascii="宋体" w:hAnsi="宋体" w:eastAsia="宋体" w:cs="宋体"/>
      <w:kern w:val="0"/>
      <w:sz w:val="24"/>
      <w:szCs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2219</Words>
  <Characters>2283</Characters>
  <Lines>1</Lines>
  <Paragraphs>1</Paragraphs>
  <TotalTime>1</TotalTime>
  <ScaleCrop>false</ScaleCrop>
  <LinksUpToDate>false</LinksUpToDate>
  <CharactersWithSpaces>2344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sinner</cp:lastModifiedBy>
  <cp:lastPrinted>2024-12-20T11:11:00Z</cp:lastPrinted>
  <dcterms:modified xsi:type="dcterms:W3CDTF">2024-12-26T10:48:04Z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498B57F0AAC945FD8FCA5A487354CDE7_13</vt:lpwstr>
  </property>
  <property fmtid="{D5CDD505-2E9C-101B-9397-08002B2CF9AE}" pid="4" name="KSOTemplateDocerSaveRecord">
    <vt:lpwstr>eyJoZGlkIjoiMDYzYjE5MGYzMzVkMDdiNTQ3M2EwODA5NDg5Mjc5MjEiLCJ1c2VySWQiOiI2NTY2MzQ2MDAifQ==</vt:lpwstr>
  </property>
</Properties>
</file>