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ind w:lef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2022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  <w:t>年政府信息公开工作年度报告</w:t>
      </w:r>
    </w:p>
    <w:p>
      <w:pPr>
        <w:pStyle w:val="3"/>
        <w:keepNext w:val="0"/>
        <w:keepLines w:val="0"/>
        <w:widowControl/>
        <w:suppressLineNumbers w:val="0"/>
        <w:ind w:left="0" w:firstLine="640" w:firstLineChars="20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一、总体情况</w:t>
      </w:r>
    </w:p>
    <w:p>
      <w:pPr>
        <w:pStyle w:val="3"/>
        <w:keepNext w:val="0"/>
        <w:keepLines w:val="0"/>
        <w:widowControl/>
        <w:suppressLineNumbers w:val="0"/>
        <w:ind w:left="0"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根据《中华人民共和国政府信息公开条例》等文件要求，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审计局按照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政府信息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公开年度工作安排，不断加大政务公开工作力度，提高政务公开水平，促进了审计工作的健康发展，把政务公开工作列入重要议事日程，与审计业务工作同研究、同部署、同检查、同落实，做到计划科学，措施具体，责任明确。认真对照《关于印发新疆维吾尔自治区政务公开工作要点的通知》，细化措施，明确责任，切实落实好职责范围内的政务公开工作。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政府门户网站公开了20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审计局项目预算绩效、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审计局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2022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年预算公开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审计局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决算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公开等。现将我局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2022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年政务公开主要任务落实情况报告如下：</w:t>
      </w:r>
    </w:p>
    <w:p>
      <w:pPr>
        <w:pStyle w:val="3"/>
        <w:keepNext w:val="0"/>
        <w:keepLines w:val="0"/>
        <w:widowControl/>
        <w:suppressLineNumbers w:val="0"/>
        <w:ind w:left="0" w:firstLine="640" w:firstLineChars="200"/>
        <w:rPr>
          <w:rFonts w:hint="eastAsia" w:ascii="黑体" w:hAnsi="黑体" w:eastAsia="黑体" w:cs="宋体"/>
          <w:sz w:val="32"/>
          <w:szCs w:val="32"/>
          <w:shd w:val="clear" w:color="auto" w:fill="auto"/>
        </w:rPr>
      </w:pPr>
      <w:r>
        <w:rPr>
          <w:rFonts w:hint="eastAsia" w:ascii="黑体" w:hAnsi="黑体" w:eastAsia="黑体" w:cs="宋体"/>
          <w:sz w:val="32"/>
          <w:szCs w:val="32"/>
          <w:shd w:val="clear" w:color="auto" w:fill="auto"/>
        </w:rPr>
        <w:t>二、主动公开政府信息情况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058"/>
        <w:gridCol w:w="1686"/>
        <w:gridCol w:w="1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8472" w:type="dxa"/>
            <w:gridSpan w:val="4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第二十条第（一）项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信息内容</w:t>
            </w:r>
          </w:p>
        </w:tc>
        <w:tc>
          <w:tcPr>
            <w:tcW w:w="2058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本年</w:t>
            </w:r>
            <w:r>
              <w:rPr>
                <w:kern w:val="0"/>
                <w:sz w:val="24"/>
                <w:shd w:val="clear" w:color="auto" w:fill="auto"/>
                <w:lang w:bidi="ar"/>
              </w:rPr>
              <w:t>制</w:t>
            </w:r>
            <w:r>
              <w:rPr>
                <w:rFonts w:hint="eastAsia"/>
                <w:kern w:val="0"/>
                <w:sz w:val="24"/>
                <w:shd w:val="clear" w:color="auto" w:fill="auto"/>
                <w:lang w:eastAsia="zh-CN" w:bidi="ar"/>
              </w:rPr>
              <w:t>发件数</w:t>
            </w:r>
          </w:p>
        </w:tc>
        <w:tc>
          <w:tcPr>
            <w:tcW w:w="1686" w:type="dxa"/>
            <w:noWrap w:val="0"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本年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eastAsia="zh-CN" w:bidi="ar"/>
              </w:rPr>
              <w:t>废止件数</w:t>
            </w:r>
          </w:p>
        </w:tc>
        <w:tc>
          <w:tcPr>
            <w:tcW w:w="1881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现行有效件数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规章</w:t>
            </w:r>
          </w:p>
        </w:tc>
        <w:tc>
          <w:tcPr>
            <w:tcW w:w="2058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1686" w:type="dxa"/>
            <w:noWrap w:val="0"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1881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规范性文件</w:t>
            </w:r>
          </w:p>
        </w:tc>
        <w:tc>
          <w:tcPr>
            <w:tcW w:w="2058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1686" w:type="dxa"/>
            <w:noWrap w:val="0"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1881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472" w:type="dxa"/>
            <w:gridSpan w:val="4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第二十条第（五）项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信息内容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本年处理决定数量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行政许可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default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其他对外管理服务事项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default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472" w:type="dxa"/>
            <w:gridSpan w:val="4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第二十条第（六）项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信息内容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本年处理决定数量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行政处罚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default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行政强制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8472" w:type="dxa"/>
            <w:gridSpan w:val="4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第二十条第（八）项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信息内容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本年收费金额（单位：万元）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行政事业性收费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</w:tbl>
    <w:p>
      <w:pPr>
        <w:pStyle w:val="3"/>
        <w:widowControl/>
        <w:spacing w:before="0" w:beforeAutospacing="0" w:after="0" w:afterAutospacing="0" w:line="560" w:lineRule="exact"/>
        <w:ind w:firstLine="640" w:firstLineChars="200"/>
        <w:jc w:val="both"/>
        <w:rPr>
          <w:rFonts w:hint="eastAsia" w:ascii="黑体" w:hAnsi="黑体" w:eastAsia="黑体" w:cs="宋体"/>
          <w:sz w:val="32"/>
          <w:szCs w:val="30"/>
          <w:shd w:val="clear" w:color="auto" w:fill="auto"/>
        </w:rPr>
      </w:pPr>
      <w:bookmarkStart w:id="2" w:name="_GoBack"/>
      <w:bookmarkEnd w:id="2"/>
      <w:r>
        <w:rPr>
          <w:rFonts w:hint="eastAsia" w:ascii="黑体" w:hAnsi="黑体" w:eastAsia="黑体" w:cs="宋体"/>
          <w:sz w:val="32"/>
          <w:szCs w:val="30"/>
          <w:shd w:val="clear" w:color="auto" w:fill="auto"/>
        </w:rPr>
        <w:t>三、收到和处理政府信息公开申请情况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6"/>
        <w:gridCol w:w="936"/>
        <w:gridCol w:w="2756"/>
        <w:gridCol w:w="456"/>
        <w:gridCol w:w="652"/>
        <w:gridCol w:w="656"/>
        <w:gridCol w:w="655"/>
        <w:gridCol w:w="656"/>
        <w:gridCol w:w="464"/>
        <w:gridCol w:w="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jc w:val="center"/>
        </w:trPr>
        <w:tc>
          <w:tcPr>
            <w:tcW w:w="4388" w:type="dxa"/>
            <w:gridSpan w:val="3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（本列数据的</w:t>
            </w:r>
            <w:bookmarkStart w:id="0" w:name="hmcheck_c0863ea713714e3e9f0815d448a3260a"/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勾稽</w:t>
            </w:r>
            <w:bookmarkEnd w:id="0"/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关系为：第一项加第二项之和，等于第三项加第四项之和）</w:t>
            </w:r>
          </w:p>
        </w:tc>
        <w:tc>
          <w:tcPr>
            <w:tcW w:w="3995" w:type="dxa"/>
            <w:gridSpan w:val="7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申请人情况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88" w:type="dxa"/>
            <w:gridSpan w:val="3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45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自然人</w:t>
            </w:r>
          </w:p>
        </w:tc>
        <w:tc>
          <w:tcPr>
            <w:tcW w:w="3083" w:type="dxa"/>
            <w:gridSpan w:val="5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法人或其他组织</w:t>
            </w:r>
          </w:p>
        </w:tc>
        <w:tc>
          <w:tcPr>
            <w:tcW w:w="45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  <w:jc w:val="center"/>
        </w:trPr>
        <w:tc>
          <w:tcPr>
            <w:tcW w:w="4388" w:type="dxa"/>
            <w:gridSpan w:val="3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45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商业企业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科研机构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社会公益组织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法律服务机构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</w:t>
            </w:r>
          </w:p>
        </w:tc>
        <w:tc>
          <w:tcPr>
            <w:tcW w:w="45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4388" w:type="dxa"/>
            <w:gridSpan w:val="3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一、本年新收政府信息公开申请数量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4388" w:type="dxa"/>
            <w:gridSpan w:val="3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二、上年结转政府信息公开申请数量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  <w:jc w:val="center"/>
        </w:trPr>
        <w:tc>
          <w:tcPr>
            <w:tcW w:w="69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三、本年度办理结果</w:t>
            </w:r>
          </w:p>
        </w:tc>
        <w:tc>
          <w:tcPr>
            <w:tcW w:w="3692" w:type="dxa"/>
            <w:gridSpan w:val="2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（一）予以公开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3692" w:type="dxa"/>
            <w:gridSpan w:val="2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（二）部分公开（区分处理的，只</w:t>
            </w:r>
            <w:bookmarkStart w:id="1" w:name="hmcheck_b2f0b493317243249ab4245dc102b356"/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计</w:t>
            </w:r>
            <w:bookmarkEnd w:id="1"/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这一情形，不计其他情形）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（三）不予公开</w:t>
            </w: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1.属于国家秘密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2.其他法律行政法规禁止公开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3.危及“三安全一稳定”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4.保护第三方合法权益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5.属于三类内部事务信息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6.属于四类过程性信息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7.属于行政执法案卷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8.属于行政查询事项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（四）无法提供</w:t>
            </w: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1.本机关不掌握相关政府信息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2.没有现成信息需要另行制作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3.补正后申请内容仍不明确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（五）不予处理</w:t>
            </w: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1.信访举报投诉类申请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2.重复申请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3.要求提供公开出版物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4.无正当理由大量反复申请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tcBorders>
              <w:bottom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tcBorders>
              <w:bottom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5.要求行政机关确认或重新出具已获取信息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tcBorders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（六）其他处理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1.申请人无正当理由逾期不补正、行政机关不再处理其政府信息公开申请</w:t>
            </w:r>
          </w:p>
        </w:tc>
        <w:tc>
          <w:tcPr>
            <w:tcW w:w="456" w:type="dxa"/>
            <w:tcBorders>
              <w:lef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tcBorders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2.申请人逾期未按收费通知要求缴纳费用、行政机关不再处理其政府信息公开申请</w:t>
            </w:r>
          </w:p>
        </w:tc>
        <w:tc>
          <w:tcPr>
            <w:tcW w:w="456" w:type="dxa"/>
            <w:tcBorders>
              <w:lef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 w:cs="Calibri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tcBorders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3.其他</w:t>
            </w:r>
          </w:p>
        </w:tc>
        <w:tc>
          <w:tcPr>
            <w:tcW w:w="456" w:type="dxa"/>
            <w:tcBorders>
              <w:lef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 w:cs="Calibri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（七）总计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88" w:type="dxa"/>
            <w:gridSpan w:val="3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四、结转下年度继续办理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</w:tbl>
    <w:p>
      <w:pPr>
        <w:spacing w:line="560" w:lineRule="exact"/>
        <w:ind w:firstLine="636" w:firstLineChars="199"/>
        <w:rPr>
          <w:rFonts w:hint="eastAsia" w:ascii="黑体" w:hAnsi="黑体" w:eastAsia="黑体" w:cs="宋体"/>
          <w:sz w:val="32"/>
          <w:szCs w:val="32"/>
          <w:shd w:val="clear" w:color="auto" w:fill="auto"/>
        </w:rPr>
      </w:pPr>
      <w:r>
        <w:rPr>
          <w:rFonts w:hint="eastAsia" w:ascii="黑体" w:hAnsi="黑体" w:eastAsia="黑体" w:cs="宋体"/>
          <w:sz w:val="32"/>
          <w:szCs w:val="32"/>
          <w:shd w:val="clear" w:color="auto" w:fill="auto"/>
        </w:rPr>
        <w:t>四、政府信息公开行政复议、行政诉讼情况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2"/>
        <w:gridCol w:w="495"/>
        <w:gridCol w:w="510"/>
        <w:gridCol w:w="495"/>
        <w:gridCol w:w="555"/>
        <w:gridCol w:w="570"/>
        <w:gridCol w:w="525"/>
        <w:gridCol w:w="645"/>
        <w:gridCol w:w="555"/>
        <w:gridCol w:w="675"/>
        <w:gridCol w:w="645"/>
        <w:gridCol w:w="600"/>
        <w:gridCol w:w="600"/>
        <w:gridCol w:w="600"/>
        <w:gridCol w:w="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57" w:type="dxa"/>
            <w:gridSpan w:val="5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行政复议</w:t>
            </w:r>
          </w:p>
        </w:tc>
        <w:tc>
          <w:tcPr>
            <w:tcW w:w="5947" w:type="dxa"/>
            <w:gridSpan w:val="10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行政诉讼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02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结果维持</w:t>
            </w:r>
          </w:p>
        </w:tc>
        <w:tc>
          <w:tcPr>
            <w:tcW w:w="495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结果纠正</w:t>
            </w:r>
          </w:p>
        </w:tc>
        <w:tc>
          <w:tcPr>
            <w:tcW w:w="510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其他结果</w:t>
            </w:r>
          </w:p>
        </w:tc>
        <w:tc>
          <w:tcPr>
            <w:tcW w:w="495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尚未审结</w:t>
            </w:r>
          </w:p>
        </w:tc>
        <w:tc>
          <w:tcPr>
            <w:tcW w:w="555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计</w:t>
            </w:r>
          </w:p>
        </w:tc>
        <w:tc>
          <w:tcPr>
            <w:tcW w:w="2970" w:type="dxa"/>
            <w:gridSpan w:val="5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未经复议直接起诉</w:t>
            </w:r>
          </w:p>
        </w:tc>
        <w:tc>
          <w:tcPr>
            <w:tcW w:w="2977" w:type="dxa"/>
            <w:gridSpan w:val="5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复议后起诉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02" w:type="dxa"/>
            <w:vMerge w:val="continue"/>
            <w:tcBorders>
              <w:top w:val="nil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495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510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495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555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57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结果维持</w:t>
            </w:r>
          </w:p>
        </w:tc>
        <w:tc>
          <w:tcPr>
            <w:tcW w:w="52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结果纠正</w:t>
            </w:r>
          </w:p>
        </w:tc>
        <w:tc>
          <w:tcPr>
            <w:tcW w:w="64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其他结果</w:t>
            </w:r>
          </w:p>
        </w:tc>
        <w:tc>
          <w:tcPr>
            <w:tcW w:w="5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尚未审结</w:t>
            </w:r>
          </w:p>
        </w:tc>
        <w:tc>
          <w:tcPr>
            <w:tcW w:w="67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总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计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 xml:space="preserve">   </w:t>
            </w:r>
          </w:p>
        </w:tc>
        <w:tc>
          <w:tcPr>
            <w:tcW w:w="64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结果维持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结果纠正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其他结果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尚未审结</w:t>
            </w:r>
          </w:p>
        </w:tc>
        <w:tc>
          <w:tcPr>
            <w:tcW w:w="53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0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49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49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7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2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7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3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宋体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黑体" w:hAnsi="黑体" w:eastAsia="黑体" w:cs="宋体"/>
          <w:kern w:val="2"/>
          <w:sz w:val="32"/>
          <w:szCs w:val="32"/>
          <w:shd w:val="clear" w:color="auto" w:fill="auto"/>
          <w:lang w:val="en-US" w:eastAsia="zh-CN" w:bidi="ar-SA"/>
        </w:rPr>
        <w:t>五、存在的主要问题及改进情况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16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</w:rPr>
        <w:t>一是政务公开形式比较单一，内容还不够丰富。二是信息公开工作机制还不够完善，主动公开的意识还有待进一步加强。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（二）努力扩大信息来源，进一步丰富公开信息内容，对原有的政务信息公开内容进行完善，保证各类信息公开的准确性和完整性。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（三）进一步完善政府信息公开工作机制，建立稳定的信息公开激励机制。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四）进一步拓宽便民服务通道。扎实推进行政权力网上公开透明运行，对重要领域的行政权力实行全面公开、动态公开、结果公开。结合政府信息公开目录，进一步规范政务公开内容，不断提升政务公开工作水平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六、其他需要报告的事项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无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裕民县审计局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2023年1月23日</w:t>
      </w:r>
    </w:p>
    <w:sectPr>
      <w:pgSz w:w="11906" w:h="16838"/>
      <w:pgMar w:top="2098" w:right="1531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2BB72916"/>
    <w:rsid w:val="14A4376A"/>
    <w:rsid w:val="2BB72916"/>
    <w:rsid w:val="3D67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ind w:firstLine="200" w:firstLineChars="200"/>
      <w:outlineLvl w:val="2"/>
    </w:pPr>
    <w:rPr>
      <w:rFonts w:ascii="仿宋" w:hAnsi="Times New Roman" w:eastAsia="仿宋" w:cs="宋体"/>
      <w:color w:val="FF0000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2024-11-07T10:14:00Z</dcterms:created>
  <dc:creator>красивый</dc:creator>
  <cp:lastModifiedBy>красивый</cp:lastModifiedBy>
  <cp:lastPrinted>2024-11-07T10:56:34Z</cp:lastPrinted>
  <dcterms:modified xsi:type="dcterms:W3CDTF">2024-11-07T10:56:45Z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1C2F8C4996224DE8AC02C2324D785F04_13</vt:lpwstr>
  </property>
</Properties>
</file>