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关于上报《裕民县住房和城乡建设局2023年法治政府建设工作总结》的报告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裕民县人民政府：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根据《法治政府建设实施纲要（2021—2025年）》要求，现将《裕民县住房和城乡建设局 2023年度法治政府建设工作总结》予以呈报请审批。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附件：裕民县住房和城乡建设局2023年度法治政府建设工作总结。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裕民县住房和城乡建设局2023年度法治政府建设工作总结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县委、县政府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的坚强领导下，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住房和城乡建设局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坚持以习近平新时代中国特色社会主义思想为指导，认真学习贯彻党的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大精神和习近平总书记关于法治政府建设的重要指示精神，扎实有效推进法治政府工作，积极营造良好的法治氛围，有力地推动法治政府各项工作的开展。现将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年法治政府建设工作总结如下：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36" w:leftChars="0" w:right="0" w:rightChars="0" w:firstLine="320" w:firstLineChars="1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一、法治政府建设推进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（一）加强组织领导，严格落实各项制度。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高度重视法治政府建设工作。坚持以习近平法治思想为指导，把法治政府建设作为一项重要的政治任务，摆上重要议事日程。由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书记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任组长、分管领导任副组长、各股室负责人为成员的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法治政府建设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领导小组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根据《法治政府建设实施纲要（2021——2025年）》文件要求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组织实施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各项工作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建立健全行政决策制度体系。健全科学民主依法决策机制，规范重大行政决策行为，提高决策质量，保证决策效率，结合我局工作实际，制定《裕民县住房和城乡建设局重大事项决策制度》和《裕民县住房和城乡建设局重大事项决策制度目录》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推进规范性文件合法性审核制度。认真开展了行政规范性文件自查自纠工作，通过自查，住房和城乡建设局不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存在违反法律法规和国家政策、侵犯群众合法权益的奇葩文件、无越权发文、乱发文等问题。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学用结合，做法治政府建设的实践者。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建立健全党组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理论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中心组集体学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度，切实推进了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住建法治政府建设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工作的有序开展。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参加自治区“法治讲堂·逢九必讲”38场次，参加人次达300余人次，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住建领域法治讲堂、讲座3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次。严格落实执法证换领工作，建立行政执法人员执法证信息管理台账，及时组织新进执法人员和到期换领执法人员的行政执法证换证工作。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HYPERLINK "http://www.liantiaochang.cn/a/xuexi/" \t "http://www.liantiaochang.cn/zhuantifanwen/gongwenfanwen/_blank"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学习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《宪法》《民法典》《安全生产法》《国家安全法》《反恐怖主义法》等国家各类法律法规，努力提高法律素质，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持续增强自身法律素养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。做到全年学法时间超过40学时，学法笔记记录不少于5次，截止目前共开展会前学法30余次，法治宣传6次。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宪法学习日、全民国家安全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instrText xml:space="preserve"> HYPERLINK "http://www.liantiaochang.cn/a/jiaoyu/" \t "http://www.liantiaochang.cn/zhuantifanwen/gongwenfanwen/_blank"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日、安全生产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等重要节点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法治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宣传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进工地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进企业、进社区、进公园等活动10场次，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悬挂宣传横幅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余条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周五学习日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、三会一课以及法宣在线、干部教育网等线上线下集中学习，强化日常“充电”。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强化全体干部职工对专业法律的学习。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加强干部职工自身法律知识水平的积累，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全年组织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全体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干部职工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参加本行业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行政执法法治教育培训2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60余人次，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不断提高执法能力水平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使住建领域法治工作再上新台阶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2"/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强化执法监管，推动住建法治政府建设进程。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落实行政执法“三项制度”。按要求落实执法公示、全过程记录制度、执法人员公示、执法事项和目录公示、重大执法决定目录公示等。认真开展案卷评查，行政许可、行政处罚有法律法规依据，无自行设定项目，基本达到执法主体正确、执法依据充分、认定事实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持续深化简政放权、优化营商环境。实行裕民县建设工程行业加强部门信息协同共享，按照“应进必进”原则，全面取消线下审批、实行线上录入，严格按照工程建设项目审批改革工作要求进行网上审批，通过行政服务大厅窗口受理，后台审批，严格落实“一份办事指南，一张申请表单，一套申报资料，完成多项审批”，建设工程审批办理环节全过程使用工程建设项目审批系统，申请人无需在其他系统重复申报、多审批窗口重复申报、重复提交材料等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严格落实建筑工程质量安全，做好住建领域重点行业安全生产工作。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我局全年对全县建筑工程日常巡查12场/次，开展安全生产检查6次，开展综合检查1次，累计发现安全隐患73处，截至目前企业完成整改73处。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住建领域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行业部门完善各种应急预案，开展阶段性行业安全生产检查，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累计验收工程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项，累计检查工程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151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项次，下发安全隐患通知书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份，停工通知书3份，收集验收监督记录表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份，质量监督抽查记录表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" w:leftChars="0" w:right="0" w:rightChars="0" w:firstLine="320" w:firstLineChars="1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住房和城乡建设局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法治政府建设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虽然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取得了一定成效，但也存在一些不容忽视的问题，主要表现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（一）法治思维有待提高。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针对干部的法律法规知识培训较少，对于相关的法律条例研究不透，运用法治思维解决问题的能力不强。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（二）宣传方式较为单一。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开展法治宣传活动形式单一、频率低、次数少，对服务对象法治宣传的吸引力、理解力和创新性不足。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36" w:leftChars="0" w:right="0" w:rightChars="0" w:firstLine="320" w:firstLineChars="1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今后工作思路和主要措施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（一）提高政治站位，强化理论武装。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坚持将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习近平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法治思想列为全局理论学习的重要内容，严格落实《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彻落实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法治政府建设实施纲要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2021——2025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年）实施方案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工作方案》，把法治政府建设摆在全局工作的突出位置，充分发挥领导干部“头雁”作用，不断提高运用法治思维、法治方式推进工作的能力。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（二）加强队伍建设，增强法治力量。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建立健全行政执法人员常态化学习机制，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切实转变观念，全面提高工作人员依法行政工作意识和依法行政工作水平，全力推进依法行政和法治政府建设，提高干部队伍综合素质。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（三）进一步深化宣传教育。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加大对法治政府建设的宣传力度，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采取日常宣传和重点宣传相结合的方法，扎实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抓好法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宣传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统筹工作开展，引导群众知法守法、依法维权，增强宣传的针对性和实效性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进一步营造良好的法治社会氛围。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裕民县住房和城乡建设局</w:t>
      </w:r>
    </w:p>
    <w:p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2024年3月1日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F74055-7859-4AC7-8F8D-02143E76118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262D5A7-8A32-427D-86E2-6AE8BA17F7DE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1BEBDC3-250B-4C3A-B400-482C9A41C19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F2231ED-36DD-4FCD-ABC7-A5B3AC4F575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C0D9976-6E57-402B-B04E-917BBEE8163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5D8B61"/>
    <w:multiLevelType w:val="singleLevel"/>
    <w:tmpl w:val="CB5D8B61"/>
    <w:lvl w:ilvl="0" w:tentative="0">
      <w:start w:val="2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  <w:b/>
        <w:bCs/>
        <w:sz w:val="32"/>
        <w:szCs w:val="32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25" w:hanging="425"/>
      </w:pPr>
    </w:lvl>
    <w:lvl w:ilvl="1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992" w:hanging="992"/>
      </w:pPr>
    </w:lvl>
    <w:lvl w:ilvl="2" w:tentative="0">
      <w:start w:val="1"/>
      <w:numFmt w:val="none"/>
      <w:lvlRestart w:val="0"/>
      <w:pStyle w:val="3"/>
      <w:suff w:val="nothing"/>
      <w:lvlText w:val=""/>
      <w:lvlJc w:val="left"/>
      <w:pPr>
        <w:tabs>
          <w:tab w:val="left" w:pos="0"/>
        </w:tabs>
        <w:ind w:left="1418" w:hanging="1418"/>
      </w:pPr>
    </w:lvl>
    <w:lvl w:ilvl="3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1984" w:hanging="1984"/>
      </w:pPr>
    </w:lvl>
    <w:lvl w:ilvl="4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2551" w:hanging="2551"/>
      </w:pPr>
    </w:lvl>
    <w:lvl w:ilvl="5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260" w:hanging="3260"/>
      </w:pPr>
    </w:lvl>
    <w:lvl w:ilvl="6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827" w:hanging="3827"/>
      </w:pPr>
    </w:lvl>
    <w:lvl w:ilvl="7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4394" w:hanging="4394"/>
      </w:pPr>
    </w:lvl>
    <w:lvl w:ilvl="8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5102" w:hanging="510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YjE5MGYzMzVkMDdiNTQ3M2EwODA5NDg5Mjc5MjEifQ=="/>
  </w:docVars>
  <w:rsids>
    <w:rsidRoot w:val="43906493"/>
    <w:rsid w:val="013C1A1E"/>
    <w:rsid w:val="03635893"/>
    <w:rsid w:val="0A221B3A"/>
    <w:rsid w:val="0BC318EE"/>
    <w:rsid w:val="0CE96DC1"/>
    <w:rsid w:val="0F4D7A24"/>
    <w:rsid w:val="120F7A7D"/>
    <w:rsid w:val="1378099E"/>
    <w:rsid w:val="13D94EA3"/>
    <w:rsid w:val="16DA5E38"/>
    <w:rsid w:val="1C4E77CB"/>
    <w:rsid w:val="235B485F"/>
    <w:rsid w:val="23E92162"/>
    <w:rsid w:val="2C1C3440"/>
    <w:rsid w:val="302E34BF"/>
    <w:rsid w:val="3D25301C"/>
    <w:rsid w:val="3DCD1C5E"/>
    <w:rsid w:val="42057CCA"/>
    <w:rsid w:val="438B3089"/>
    <w:rsid w:val="43906493"/>
    <w:rsid w:val="463E5F57"/>
    <w:rsid w:val="4C881070"/>
    <w:rsid w:val="4E6F5457"/>
    <w:rsid w:val="4E8B5FB6"/>
    <w:rsid w:val="4FBA6544"/>
    <w:rsid w:val="50A97980"/>
    <w:rsid w:val="5D4A36BA"/>
    <w:rsid w:val="5FC96A41"/>
    <w:rsid w:val="6A6325BE"/>
    <w:rsid w:val="6CFC2A54"/>
    <w:rsid w:val="6DD87425"/>
    <w:rsid w:val="7041358B"/>
    <w:rsid w:val="74B67160"/>
    <w:rsid w:val="7E8C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Lines/>
      <w:numPr>
        <w:ilvl w:val="2"/>
        <w:numId w:val="1"/>
      </w:numPr>
      <w:spacing w:before="260" w:after="260" w:line="408" w:lineRule="auto"/>
      <w:outlineLvl w:val="2"/>
    </w:pPr>
    <w:rPr>
      <w:rFonts w:ascii="Times New Roman" w:hAnsi="Times New Roman" w:cs="Tahom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BodyText1I"/>
    <w:basedOn w:val="9"/>
    <w:qFormat/>
    <w:uiPriority w:val="0"/>
    <w:pPr>
      <w:spacing w:after="120"/>
      <w:ind w:firstLine="420" w:firstLineChars="100"/>
      <w:jc w:val="both"/>
      <w:textAlignment w:val="baseline"/>
    </w:pPr>
    <w:rPr>
      <w:rFonts w:ascii="Calibri" w:hAnsi="Calibri" w:eastAsia="宋体"/>
      <w:kern w:val="0"/>
      <w:sz w:val="24"/>
      <w:szCs w:val="24"/>
      <w:lang w:val="en-US" w:eastAsia="zh-CN" w:bidi="ar-SA"/>
    </w:rPr>
  </w:style>
  <w:style w:type="paragraph" w:customStyle="1" w:styleId="9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0"/>
      <w:sz w:val="24"/>
      <w:szCs w:val="24"/>
      <w:lang w:val="en-US" w:eastAsia="zh-CN" w:bidi="ar-SA"/>
    </w:rPr>
  </w:style>
  <w:style w:type="character" w:customStyle="1" w:styleId="10">
    <w:name w:val="二级标题 字符"/>
    <w:basedOn w:val="6"/>
    <w:link w:val="11"/>
    <w:qFormat/>
    <w:uiPriority w:val="0"/>
    <w:rPr>
      <w:rFonts w:ascii="楷体" w:hAnsi="楷体" w:eastAsia="楷体"/>
    </w:rPr>
  </w:style>
  <w:style w:type="paragraph" w:customStyle="1" w:styleId="11">
    <w:name w:val="二级标题"/>
    <w:basedOn w:val="1"/>
    <w:link w:val="10"/>
    <w:qFormat/>
    <w:uiPriority w:val="0"/>
    <w:pPr>
      <w:ind w:firstLine="640"/>
    </w:pPr>
    <w:rPr>
      <w:rFonts w:ascii="楷体" w:hAnsi="楷体" w:eastAsia="楷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2209</Words>
  <Characters>2272</Characters>
  <Lines>0</Lines>
  <Paragraphs>0</Paragraphs>
  <TotalTime>78</TotalTime>
  <ScaleCrop>false</ScaleCrop>
  <LinksUpToDate>false</LinksUpToDate>
  <CharactersWithSpaces>2309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2023-04-16T07:09:00Z</dcterms:created>
  <dc:creator>Administrator</dc:creator>
  <cp:lastModifiedBy>sinner</cp:lastModifiedBy>
  <cp:lastPrinted>2024-03-05T08:52:00Z</cp:lastPrinted>
  <dcterms:modified xsi:type="dcterms:W3CDTF">2024-08-05T10:13:27Z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D30D277CBAC94F2993AB74DD28F2AF00_13</vt:lpwstr>
  </property>
</Properties>
</file>