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裕民县</w:t>
      </w:r>
      <w:r>
        <w:rPr>
          <w:rFonts w:hint="eastAsia" w:ascii="方正小标宋简体" w:hAnsi="方正小标宋简体" w:eastAsia="方正小标宋简体" w:cs="方正小标宋简体"/>
          <w:color w:val="auto"/>
          <w:sz w:val="44"/>
          <w:szCs w:val="44"/>
        </w:rPr>
        <w:t>人社局</w:t>
      </w:r>
      <w:r>
        <w:rPr>
          <w:rFonts w:hint="eastAsia" w:ascii="方正小标宋简体" w:hAnsi="方正小标宋简体" w:eastAsia="方正小标宋简体" w:cs="方正小标宋简体"/>
          <w:color w:val="auto"/>
          <w:sz w:val="44"/>
          <w:szCs w:val="44"/>
          <w:lang w:val="en-US" w:eastAsia="zh-CN"/>
        </w:rPr>
        <w:t>2023年度</w:t>
      </w:r>
      <w:r>
        <w:rPr>
          <w:rFonts w:hint="eastAsia" w:ascii="方正小标宋简体" w:hAnsi="方正小标宋简体" w:eastAsia="方正小标宋简体" w:cs="方正小标宋简体"/>
          <w:color w:val="auto"/>
          <w:sz w:val="44"/>
          <w:szCs w:val="44"/>
        </w:rPr>
        <w:t>法治</w:t>
      </w:r>
      <w:r>
        <w:rPr>
          <w:rFonts w:hint="eastAsia" w:ascii="方正小标宋简体" w:hAnsi="方正小标宋简体" w:eastAsia="方正小标宋简体" w:cs="方正小标宋简体"/>
          <w:color w:val="auto"/>
          <w:sz w:val="44"/>
          <w:szCs w:val="44"/>
          <w:lang w:val="en-US" w:eastAsia="zh-CN"/>
        </w:rPr>
        <w:t>政府</w:t>
      </w:r>
      <w:r>
        <w:rPr>
          <w:rFonts w:hint="eastAsia" w:ascii="方正小标宋简体" w:hAnsi="方正小标宋简体" w:eastAsia="方正小标宋简体" w:cs="方正小标宋简体"/>
          <w:color w:val="auto"/>
          <w:sz w:val="44"/>
          <w:szCs w:val="44"/>
        </w:rPr>
        <w:t>建设</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工作</w:t>
      </w:r>
      <w:r>
        <w:rPr>
          <w:rFonts w:hint="eastAsia" w:ascii="方正小标宋简体" w:hAnsi="方正小标宋简体" w:eastAsia="方正小标宋简体" w:cs="方正小标宋简体"/>
          <w:color w:val="auto"/>
          <w:sz w:val="44"/>
          <w:szCs w:val="44"/>
          <w:lang w:val="en-US" w:eastAsia="zh-CN"/>
        </w:rPr>
        <w:t>总结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黑体" w:hAnsi="黑体" w:eastAsia="黑体" w:cs="黑体"/>
          <w:color w:val="auto"/>
          <w:sz w:val="32"/>
          <w:szCs w:val="32"/>
          <w:lang w:val="en-US" w:eastAsia="zh-CN"/>
        </w:rPr>
        <w:t>一、法治政府建设推进情况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1.深入学习习近平法治思想，切实履行法治建设第一责任人职责。</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深入学法守法，树立法治思维，我局主要负责人认真带头学法，要求干部职工把学习习近平法治思想作为首要任务，以学促用，重点学习《民法典》《</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劳动法》《社会保险法》等相关法律法规，制定人社局党组理论学习中心组学法制度，在全局形成学法懂法用法的良好氛围，将法治思维和法治理念融入日常工作。局主要负责人认真履行法治建设第一责任人职责，在推进法治人社建设过程中，起好模范带头作用，督促其他班子成员和各部门负责人依法行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2.强化劳动关系矛盾风险源头治理。</w:t>
      </w:r>
      <w:r>
        <w:rPr>
          <w:rFonts w:hint="eastAsia" w:ascii="仿宋_GB2312" w:hAnsi="仿宋_GB2312" w:eastAsia="仿宋_GB2312" w:cs="仿宋_GB2312"/>
          <w:i w:val="0"/>
          <w:iCs w:val="0"/>
          <w:caps w:val="0"/>
          <w:color w:val="auto"/>
          <w:spacing w:val="0"/>
          <w:sz w:val="32"/>
          <w:szCs w:val="32"/>
          <w:shd w:val="clear" w:fill="FFFFFF"/>
          <w:lang w:val="en-US" w:eastAsia="zh-CN"/>
        </w:rPr>
        <w:t>贯彻落实《保障农民工工作支付条例》《劳动法》等法律法规，依法处理拖欠农民工工资问题，全面落实工资支付保障制度，从源头上预防和解决拖欠农民工工资问题。实行总承包企业工资专用账户制度，确保资金平安；实行劳动用工的实名考勤制度，防止劳资纠纷；实行银行代发工资制度，杜绝工资挪用和挤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3.加大简政放权力度。</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为简化办事手续，提高办事效率，我局形成一系列行政审批事项办事指南，明确各类行政审批事项办结时限，不断压缩行政审批事项办理时限，</w:t>
      </w:r>
      <w:r>
        <w:rPr>
          <w:rFonts w:hint="eastAsia" w:ascii="仿宋_GB2312" w:hAnsi="仿宋_GB2312" w:eastAsia="仿宋_GB2312" w:cs="仿宋_GB2312"/>
          <w:i w:val="0"/>
          <w:iCs w:val="0"/>
          <w:caps w:val="0"/>
          <w:color w:val="auto"/>
          <w:spacing w:val="0"/>
          <w:sz w:val="32"/>
          <w:szCs w:val="32"/>
          <w:shd w:val="clear" w:fill="FFFFFF"/>
          <w:lang w:eastAsia="zh-CN"/>
        </w:rPr>
        <w:t>主动公开就业、社会保险、人事人才等群众关心的热点信息，回应社会关注的问题，对部分审批服务进行精简改革，做到办理材料应减尽减，持续优化经办流程，实现人社服务加速办、简便办。</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4.</w:t>
      </w:r>
      <w:r>
        <w:rPr>
          <w:rFonts w:hint="eastAsia" w:ascii="仿宋_GB2312" w:hAnsi="仿宋_GB2312" w:eastAsia="仿宋_GB2312" w:cs="仿宋_GB2312"/>
          <w:b/>
          <w:bCs/>
          <w:i w:val="0"/>
          <w:iCs w:val="0"/>
          <w:caps w:val="0"/>
          <w:color w:val="auto"/>
          <w:spacing w:val="0"/>
          <w:sz w:val="32"/>
          <w:szCs w:val="32"/>
          <w:shd w:val="clear" w:fill="FFFFFF"/>
          <w:lang w:eastAsia="zh-CN"/>
        </w:rPr>
        <w:t>认真开展规范性文件清理工作。</w:t>
      </w:r>
      <w:r>
        <w:rPr>
          <w:rFonts w:hint="eastAsia" w:ascii="仿宋_GB2312" w:hAnsi="仿宋_GB2312" w:eastAsia="仿宋_GB2312" w:cs="仿宋_GB2312"/>
          <w:i w:val="0"/>
          <w:iCs w:val="0"/>
          <w:caps w:val="0"/>
          <w:color w:val="auto"/>
          <w:spacing w:val="0"/>
          <w:sz w:val="32"/>
          <w:szCs w:val="32"/>
          <w:shd w:val="clear" w:fill="FFFFFF"/>
          <w:lang w:eastAsia="zh-CN"/>
        </w:rPr>
        <w:t>根据县委、县政府关于规范性文件清理工作要求，我局积极配合上级部门进行规范性文件清理，安排专人跟进落实，对已不符合法律法规规章规定或者不适应经济社会发展的规范性文件，及时提出予以修改或者废止的意见；对符合社会发展需求的规范性文件继续保留，确保文件清理工作有序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5.推进重大事项依法决策。 </w:t>
      </w:r>
      <w:r>
        <w:rPr>
          <w:rFonts w:hint="eastAsia" w:ascii="仿宋_GB2312" w:hAnsi="仿宋_GB2312" w:eastAsia="仿宋_GB2312" w:cs="仿宋_GB2312"/>
          <w:i w:val="0"/>
          <w:iCs w:val="0"/>
          <w:caps w:val="0"/>
          <w:color w:val="auto"/>
          <w:spacing w:val="0"/>
          <w:sz w:val="32"/>
          <w:szCs w:val="32"/>
          <w:shd w:val="clear" w:fill="FFFFFF"/>
          <w:lang w:val="en-US" w:eastAsia="zh-CN"/>
        </w:rPr>
        <w:t>一是按照民主集中制原则，全局所有的“三重一大”事项都通过班子集体研究决定，实行集体讨论，民主决策；二是严格执行重大事项集体决策过程中末位发言的工作要求，做到决议、决定规范合法；三是抓好行政规范性文件的合法审核，落实公平竞争审查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6.切实做到公正文明执法。</w:t>
      </w:r>
      <w:r>
        <w:rPr>
          <w:rFonts w:hint="eastAsia" w:ascii="仿宋_GB2312" w:hAnsi="仿宋_GB2312" w:eastAsia="仿宋_GB2312" w:cs="仿宋_GB2312"/>
          <w:i w:val="0"/>
          <w:iCs w:val="0"/>
          <w:caps w:val="0"/>
          <w:color w:val="auto"/>
          <w:spacing w:val="0"/>
          <w:sz w:val="32"/>
          <w:szCs w:val="32"/>
          <w:shd w:val="clear" w:fill="FFFFFF"/>
          <w:lang w:val="en-US" w:eastAsia="zh-CN"/>
        </w:rPr>
        <w:t>着力推进行政执法透明、规范、合法、公正，不断健全执法制度、规范执法程序、创新执法方式、加强执法监督，全面提高执法效能，推动形成权责统一、权威高效的行政执法体系，切实维护人民群众合法权益。紧紧围绕人力资源和社会保障中心工作，充分发挥劳动保障监察的职能作用，以维护劳动者合法权益为宗旨，常态化开展劳动用工巡察，促进劳动关系和谐。2023年共摸排处理欠薪问题线索87件，为560余名农民工解决拖欠工资546.6996万元，办结率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7.健全突发事件应对体系。</w:t>
      </w:r>
      <w:r>
        <w:rPr>
          <w:rFonts w:hint="eastAsia" w:ascii="仿宋_GB2312" w:hAnsi="仿宋_GB2312" w:eastAsia="仿宋_GB2312" w:cs="仿宋_GB2312"/>
          <w:i w:val="0"/>
          <w:iCs w:val="0"/>
          <w:caps w:val="0"/>
          <w:color w:val="auto"/>
          <w:spacing w:val="0"/>
          <w:sz w:val="32"/>
          <w:szCs w:val="32"/>
          <w:shd w:val="clear" w:fill="FFFFFF"/>
          <w:lang w:eastAsia="zh-CN"/>
        </w:rPr>
        <w:t>重点做好</w:t>
      </w:r>
      <w:r>
        <w:rPr>
          <w:rFonts w:hint="eastAsia" w:ascii="仿宋_GB2312" w:hAnsi="仿宋_GB2312" w:eastAsia="仿宋_GB2312" w:cs="仿宋_GB2312"/>
          <w:i w:val="0"/>
          <w:iCs w:val="0"/>
          <w:caps w:val="0"/>
          <w:color w:val="auto"/>
          <w:spacing w:val="0"/>
          <w:sz w:val="32"/>
          <w:szCs w:val="32"/>
          <w:shd w:val="clear" w:fill="FFFFFF"/>
          <w:lang w:val="en-US" w:eastAsia="zh-CN"/>
        </w:rPr>
        <w:t>建筑</w:t>
      </w:r>
      <w:r>
        <w:rPr>
          <w:rFonts w:hint="eastAsia" w:ascii="仿宋_GB2312" w:hAnsi="仿宋_GB2312" w:eastAsia="仿宋_GB2312" w:cs="仿宋_GB2312"/>
          <w:i w:val="0"/>
          <w:iCs w:val="0"/>
          <w:caps w:val="0"/>
          <w:color w:val="auto"/>
          <w:spacing w:val="0"/>
          <w:sz w:val="32"/>
          <w:szCs w:val="32"/>
          <w:shd w:val="clear" w:fill="FFFFFF"/>
          <w:lang w:eastAsia="zh-CN"/>
        </w:rPr>
        <w:t>企业、</w:t>
      </w:r>
      <w:r>
        <w:rPr>
          <w:rFonts w:hint="eastAsia" w:ascii="仿宋_GB2312" w:hAnsi="仿宋_GB2312" w:eastAsia="仿宋_GB2312" w:cs="仿宋_GB2312"/>
          <w:i w:val="0"/>
          <w:iCs w:val="0"/>
          <w:caps w:val="0"/>
          <w:color w:val="auto"/>
          <w:spacing w:val="0"/>
          <w:sz w:val="32"/>
          <w:szCs w:val="32"/>
          <w:shd w:val="clear" w:fill="FFFFFF"/>
          <w:lang w:val="en-US" w:eastAsia="zh-CN"/>
        </w:rPr>
        <w:t>建筑工地</w:t>
      </w:r>
      <w:r>
        <w:rPr>
          <w:rFonts w:hint="eastAsia" w:ascii="仿宋_GB2312" w:hAnsi="仿宋_GB2312" w:eastAsia="仿宋_GB2312" w:cs="仿宋_GB2312"/>
          <w:i w:val="0"/>
          <w:iCs w:val="0"/>
          <w:caps w:val="0"/>
          <w:color w:val="auto"/>
          <w:spacing w:val="0"/>
          <w:sz w:val="32"/>
          <w:szCs w:val="32"/>
          <w:shd w:val="clear" w:fill="FFFFFF"/>
          <w:lang w:eastAsia="zh-CN"/>
        </w:rPr>
        <w:t>、企业员工、</w:t>
      </w:r>
      <w:r>
        <w:rPr>
          <w:rFonts w:hint="eastAsia" w:ascii="仿宋_GB2312" w:hAnsi="仿宋_GB2312" w:eastAsia="仿宋_GB2312" w:cs="仿宋_GB2312"/>
          <w:i w:val="0"/>
          <w:iCs w:val="0"/>
          <w:caps w:val="0"/>
          <w:color w:val="auto"/>
          <w:spacing w:val="0"/>
          <w:sz w:val="32"/>
          <w:szCs w:val="32"/>
          <w:shd w:val="clear" w:fill="FFFFFF"/>
          <w:lang w:val="en-US" w:eastAsia="zh-CN"/>
        </w:rPr>
        <w:t>新业态领域</w:t>
      </w:r>
      <w:r>
        <w:rPr>
          <w:rFonts w:hint="eastAsia" w:ascii="仿宋_GB2312" w:hAnsi="仿宋_GB2312" w:eastAsia="仿宋_GB2312" w:cs="仿宋_GB2312"/>
          <w:i w:val="0"/>
          <w:iCs w:val="0"/>
          <w:caps w:val="0"/>
          <w:color w:val="auto"/>
          <w:spacing w:val="0"/>
          <w:sz w:val="32"/>
          <w:szCs w:val="32"/>
          <w:shd w:val="clear" w:fill="FFFFFF"/>
          <w:lang w:eastAsia="zh-CN"/>
        </w:rPr>
        <w:t>等多元主体侵权纠纷、合同履行、劳动争议等纠纷的排查工作，</w:t>
      </w:r>
      <w:r>
        <w:rPr>
          <w:rFonts w:hint="eastAsia" w:ascii="仿宋_GB2312" w:hAnsi="仿宋_GB2312" w:eastAsia="仿宋_GB2312" w:cs="仿宋_GB2312"/>
          <w:i w:val="0"/>
          <w:iCs w:val="0"/>
          <w:caps w:val="0"/>
          <w:color w:val="auto"/>
          <w:spacing w:val="0"/>
          <w:sz w:val="32"/>
          <w:szCs w:val="32"/>
          <w:shd w:val="clear" w:fill="FFFFFF"/>
          <w:lang w:val="en-US" w:eastAsia="zh-CN"/>
        </w:rPr>
        <w:t>一旦发生劳动关系领域纠纷事件，第一时间启动应急处置预案，立即介入处置、有效管控，</w:t>
      </w:r>
      <w:r>
        <w:rPr>
          <w:rFonts w:hint="eastAsia" w:ascii="仿宋_GB2312" w:hAnsi="仿宋_GB2312" w:eastAsia="仿宋_GB2312" w:cs="仿宋_GB2312"/>
          <w:i w:val="0"/>
          <w:iCs w:val="0"/>
          <w:caps w:val="0"/>
          <w:color w:val="auto"/>
          <w:spacing w:val="0"/>
          <w:sz w:val="32"/>
          <w:szCs w:val="32"/>
          <w:shd w:val="clear" w:fill="FFFFFF"/>
          <w:lang w:eastAsia="zh-CN"/>
        </w:rPr>
        <w:t>引导当事人依法理性解决问题。对排查出的矛盾纠纷及时建立台账，明确责任人、明确时限，最大限度将矛盾隐患化解在基层、消灭在萌芽状态。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8.</w:t>
      </w:r>
      <w:r>
        <w:rPr>
          <w:rFonts w:hint="eastAsia" w:ascii="仿宋_GB2312" w:hAnsi="仿宋_GB2312" w:eastAsia="仿宋_GB2312" w:cs="仿宋_GB2312"/>
          <w:b/>
          <w:bCs/>
          <w:i w:val="0"/>
          <w:iCs w:val="0"/>
          <w:caps w:val="0"/>
          <w:color w:val="auto"/>
          <w:spacing w:val="0"/>
          <w:sz w:val="32"/>
          <w:szCs w:val="32"/>
          <w:shd w:val="clear" w:fill="FFFFFF"/>
          <w:lang w:eastAsia="zh-CN"/>
        </w:rPr>
        <w:t>防范化解矛盾纠纷，优化劳动服务保障。</w:t>
      </w:r>
      <w:r>
        <w:rPr>
          <w:rFonts w:hint="eastAsia" w:ascii="仿宋_GB2312" w:hAnsi="仿宋_GB2312" w:eastAsia="仿宋_GB2312" w:cs="仿宋_GB2312"/>
          <w:i w:val="0"/>
          <w:iCs w:val="0"/>
          <w:caps w:val="0"/>
          <w:color w:val="auto"/>
          <w:spacing w:val="0"/>
          <w:sz w:val="32"/>
          <w:szCs w:val="32"/>
          <w:shd w:val="clear" w:fill="FFFFFF"/>
          <w:lang w:eastAsia="zh-CN"/>
        </w:rPr>
        <w:t>积极组织</w:t>
      </w:r>
      <w:r>
        <w:rPr>
          <w:rFonts w:hint="eastAsia" w:ascii="仿宋_GB2312" w:hAnsi="仿宋_GB2312" w:eastAsia="仿宋_GB2312" w:cs="仿宋_GB2312"/>
          <w:i w:val="0"/>
          <w:iCs w:val="0"/>
          <w:caps w:val="0"/>
          <w:color w:val="auto"/>
          <w:spacing w:val="0"/>
          <w:sz w:val="32"/>
          <w:szCs w:val="32"/>
          <w:shd w:val="clear" w:fill="FFFFFF"/>
          <w:lang w:val="en-US" w:eastAsia="zh-CN"/>
        </w:rPr>
        <w:t>人社局劳动监察</w:t>
      </w:r>
      <w:r>
        <w:rPr>
          <w:rFonts w:hint="eastAsia" w:ascii="仿宋_GB2312" w:hAnsi="仿宋_GB2312" w:eastAsia="仿宋_GB2312" w:cs="仿宋_GB2312"/>
          <w:i w:val="0"/>
          <w:iCs w:val="0"/>
          <w:caps w:val="0"/>
          <w:color w:val="auto"/>
          <w:spacing w:val="0"/>
          <w:sz w:val="32"/>
          <w:szCs w:val="32"/>
          <w:shd w:val="clear" w:fill="FFFFFF"/>
          <w:lang w:eastAsia="zh-CN"/>
        </w:rPr>
        <w:t>员</w:t>
      </w:r>
      <w:r>
        <w:rPr>
          <w:rFonts w:hint="eastAsia" w:ascii="仿宋_GB2312" w:hAnsi="仿宋_GB2312" w:eastAsia="仿宋_GB2312" w:cs="仿宋_GB2312"/>
          <w:i w:val="0"/>
          <w:iCs w:val="0"/>
          <w:caps w:val="0"/>
          <w:color w:val="auto"/>
          <w:spacing w:val="0"/>
          <w:sz w:val="32"/>
          <w:szCs w:val="32"/>
          <w:shd w:val="clear" w:fill="FFFFFF"/>
          <w:lang w:val="en-US" w:eastAsia="zh-CN"/>
        </w:rPr>
        <w:t>和仲裁调解员</w:t>
      </w:r>
      <w:r>
        <w:rPr>
          <w:rFonts w:hint="eastAsia" w:ascii="仿宋_GB2312" w:hAnsi="仿宋_GB2312" w:eastAsia="仿宋_GB2312" w:cs="仿宋_GB2312"/>
          <w:i w:val="0"/>
          <w:iCs w:val="0"/>
          <w:caps w:val="0"/>
          <w:color w:val="auto"/>
          <w:spacing w:val="0"/>
          <w:sz w:val="32"/>
          <w:szCs w:val="32"/>
          <w:shd w:val="clear" w:fill="FFFFFF"/>
          <w:lang w:eastAsia="zh-CN"/>
        </w:rPr>
        <w:t>走进</w:t>
      </w:r>
      <w:r>
        <w:rPr>
          <w:rFonts w:hint="eastAsia" w:ascii="仿宋_GB2312" w:hAnsi="仿宋_GB2312" w:eastAsia="仿宋_GB2312" w:cs="仿宋_GB2312"/>
          <w:i w:val="0"/>
          <w:iCs w:val="0"/>
          <w:caps w:val="0"/>
          <w:color w:val="auto"/>
          <w:spacing w:val="0"/>
          <w:sz w:val="32"/>
          <w:szCs w:val="32"/>
          <w:shd w:val="clear" w:fill="FFFFFF"/>
          <w:lang w:val="en-US" w:eastAsia="zh-CN"/>
        </w:rPr>
        <w:t>工地、走进企业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强化劳动监察日常监管，落实预防排查，实行矛盾风险隐患动态跟踪、及时介入化解。</w:t>
      </w:r>
      <w:r>
        <w:rPr>
          <w:rFonts w:hint="eastAsia" w:ascii="仿宋_GB2312" w:hAnsi="仿宋_GB2312" w:eastAsia="仿宋_GB2312" w:cs="仿宋_GB2312"/>
          <w:color w:val="auto"/>
          <w:sz w:val="32"/>
          <w:szCs w:val="32"/>
          <w:lang w:val="en-US" w:eastAsia="zh-CN"/>
        </w:rPr>
        <w:t>完善公共法律服务中心室的建设，打造“一站式”法律服务平台，充分发挥人社系统公职律师的作用，我局聘请了劳动保障监察大队队长为公职律师，参与重大行政决定，同时我局设立了劳动人事争议仲裁庭、劳动保障监察大队调解室、谈话室等办公场所，保障了调解调处矛盾纠纷有场所、有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color w:val="auto"/>
          <w:kern w:val="2"/>
          <w:sz w:val="32"/>
          <w:szCs w:val="32"/>
          <w:lang w:val="en-US" w:eastAsia="zh-CN" w:bidi="ar-SA"/>
        </w:rPr>
        <w:t>9.深入推进政务公开，增强企业诚信用工意识。</w:t>
      </w:r>
      <w:r>
        <w:rPr>
          <w:rFonts w:hint="eastAsia" w:ascii="仿宋_GB2312" w:hAnsi="仿宋_GB2312" w:eastAsia="仿宋_GB2312" w:cs="仿宋_GB2312"/>
          <w:color w:val="auto"/>
          <w:kern w:val="2"/>
          <w:sz w:val="32"/>
          <w:szCs w:val="32"/>
          <w:lang w:val="en-US" w:eastAsia="zh-CN" w:bidi="ar-SA"/>
        </w:rPr>
        <w:t>为进一步提高用人单位守法诚信意识、促进用人单位依法用工，2023年度我局劳动监察大队对55家企业年度用工进行了审查，按照《新疆维吾尔自治区企业劳动保障守法诚信等级评价实施办法》，我局对企业进行了企业劳动保障守法诚信等级评价，评定了53家企业为A级、1家企业为B级、1家企业为C级，并在网站上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10.加快推进信息化平台建设。</w:t>
      </w:r>
      <w:r>
        <w:rPr>
          <w:rFonts w:hint="eastAsia" w:ascii="仿宋_GB2312" w:hAnsi="仿宋_GB2312" w:eastAsia="仿宋_GB2312" w:cs="仿宋_GB2312"/>
          <w:i w:val="0"/>
          <w:iCs w:val="0"/>
          <w:caps w:val="0"/>
          <w:color w:val="auto"/>
          <w:spacing w:val="0"/>
          <w:sz w:val="32"/>
          <w:szCs w:val="32"/>
          <w:shd w:val="clear" w:fill="FFFFFF"/>
          <w:lang w:val="en-US" w:eastAsia="zh-CN"/>
        </w:rPr>
        <w:t>进一步加强劳动监察大队对用人单位的线上监督管理，运用新疆农民工工资支付监控预警平台，逐步实现信息化实名制管理完成率100%，劳动合同签订率100%，施工总承包单位代发工资100%，维权信息公示率100%，农民工工资专用账户管理100%，同时利用国家根治欠薪线索反映平台、12345平台、“互联网+督查”等线上平台，畅通举报投诉维权渠道，向社会公开举报投诉电话，安排专人负责，落实首问负责制，及时受理投诉举报案件。</w:t>
      </w:r>
    </w:p>
    <w:p>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对推进依法行政与治理能力现代化学习不够、理解不深、结合不够，没有形成概念和体系。对执法人员队伍管理没有做到常抓不懈，只注重推进工作，没有深入思考依法行政和提升治理能力的有效结合，自觉运用法治思维和法治方式深化改革、推动发展、化解矛盾、依法协调和处理各种问题的能力有待加强。</w:t>
      </w:r>
    </w:p>
    <w:p>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三、下一步工作思路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一是深化能力建设，提升依法行政水平。</w:t>
      </w:r>
      <w:r>
        <w:rPr>
          <w:rFonts w:hint="eastAsia" w:ascii="仿宋_GB2312" w:hAnsi="仿宋_GB2312" w:eastAsia="仿宋_GB2312" w:cs="仿宋_GB2312"/>
          <w:i w:val="0"/>
          <w:iCs w:val="0"/>
          <w:caps w:val="0"/>
          <w:color w:val="auto"/>
          <w:spacing w:val="0"/>
          <w:sz w:val="32"/>
          <w:szCs w:val="32"/>
          <w:shd w:val="clear" w:fill="FFFFFF"/>
          <w:lang w:val="en-US" w:eastAsia="zh-CN"/>
        </w:rPr>
        <w:t>结合人社系统行政执法人员资格考试认证等活动，进一步提高全县人社系统依法行政能力水平，加强重大决策合法性审查工作。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二是完善体制机制，规范行政执法行为。</w:t>
      </w:r>
      <w:r>
        <w:rPr>
          <w:rFonts w:hint="eastAsia" w:ascii="仿宋_GB2312" w:hAnsi="仿宋_GB2312" w:eastAsia="仿宋_GB2312" w:cs="仿宋_GB2312"/>
          <w:i w:val="0"/>
          <w:iCs w:val="0"/>
          <w:caps w:val="0"/>
          <w:color w:val="auto"/>
          <w:spacing w:val="0"/>
          <w:sz w:val="32"/>
          <w:szCs w:val="32"/>
          <w:shd w:val="clear" w:fill="FFFFFF"/>
          <w:lang w:val="en-US" w:eastAsia="zh-CN"/>
        </w:rPr>
        <w:t>继续完善落实行政执法公示、全过程记录和法制审核三项制度，坚持和完善“双随机、一公开”执法体制。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pPr>
      <w:r>
        <w:rPr>
          <w:rFonts w:hint="eastAsia" w:ascii="仿宋_GB2312" w:hAnsi="仿宋_GB2312" w:eastAsia="仿宋_GB2312" w:cs="仿宋_GB2312"/>
          <w:b/>
          <w:bCs/>
          <w:i w:val="0"/>
          <w:iCs w:val="0"/>
          <w:caps w:val="0"/>
          <w:color w:val="auto"/>
          <w:spacing w:val="0"/>
          <w:sz w:val="32"/>
          <w:szCs w:val="32"/>
          <w:shd w:val="clear" w:fill="FFFFFF"/>
          <w:lang w:val="en-US" w:eastAsia="zh-CN"/>
        </w:rPr>
        <w:t>三是突出人社特色，深化法治宣传教育。</w:t>
      </w:r>
      <w:r>
        <w:rPr>
          <w:rFonts w:hint="eastAsia" w:ascii="仿宋_GB2312" w:hAnsi="仿宋_GB2312" w:eastAsia="仿宋_GB2312" w:cs="仿宋_GB2312"/>
          <w:i w:val="0"/>
          <w:iCs w:val="0"/>
          <w:caps w:val="0"/>
          <w:color w:val="auto"/>
          <w:spacing w:val="0"/>
          <w:sz w:val="32"/>
          <w:szCs w:val="32"/>
          <w:shd w:val="clear" w:fill="FFFFFF"/>
          <w:lang w:val="en-US" w:eastAsia="zh-CN"/>
        </w:rPr>
        <w:t>结合业务工作安排，整合优化人社法治宣传教育资源，化零为整，深入学习贯彻习近平法治思想，集中开展劳动用工、社会保险、就业创业等多方面的主题法治宣传教育活动，突出人社普法特色，创树人社普法品牌。</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裕民县人力资源和社会保障局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2024年3月15日</w:t>
      </w:r>
    </w:p>
    <w:p>
      <w:pPr>
        <w:pStyle w:val="3"/>
        <w:ind w:left="0" w:leftChars="0" w:firstLine="0" w:firstLineChars="0"/>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41C609F6"/>
    <w:rsid w:val="0EE7059F"/>
    <w:rsid w:val="40057F26"/>
    <w:rsid w:val="41C609F6"/>
    <w:rsid w:val="50187700"/>
    <w:rsid w:val="6A234380"/>
    <w:rsid w:val="6AB81854"/>
    <w:rsid w:val="70CB31C5"/>
    <w:rsid w:val="79B509BF"/>
    <w:rsid w:val="7EF4740C"/>
    <w:rsid w:val="7FFF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unhideWhenUsed/>
    <w:qFormat/>
    <w:uiPriority w:val="0"/>
    <w:pPr>
      <w:spacing w:after="120" w:line="480" w:lineRule="auto"/>
      <w:ind w:left="420" w:leftChars="200"/>
    </w:pPr>
    <w:rPr>
      <w:rFonts w:hint="eastAsia"/>
      <w:sz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2237</Words>
  <Characters>2295</Characters>
  <Lines>0</Lines>
  <Paragraphs>0</Paragraphs>
  <TotalTime>14</TotalTime>
  <ScaleCrop>false</ScaleCrop>
  <LinksUpToDate>false</LinksUpToDate>
  <CharactersWithSpaces>2296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2024-02-27T19:20:00Z</dcterms:created>
  <dc:creator>dell</dc:creator>
  <cp:lastModifiedBy>sinner</cp:lastModifiedBy>
  <cp:lastPrinted>2024-03-15T17:22:00Z</cp:lastPrinted>
  <dcterms:modified xsi:type="dcterms:W3CDTF">2024-07-05T10:20:07Z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D33FC8992110476A90262A6EEDB3FB1C_13</vt:lpwstr>
  </property>
</Properties>
</file>