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裕民县吉也克镇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2023年度法治政府建设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工作总结</w:t>
      </w:r>
    </w:p>
    <w:p>
      <w:pPr>
        <w:pStyle w:val="2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法治政府建设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推进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情况</w:t>
      </w:r>
      <w:r>
        <w:rPr>
          <w:rFonts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深化法治思想，法治政府建设更加高效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认真履行推进法治建设第一责任人职责，党委政府主要领导每年向县委县政府述法，</w:t>
      </w:r>
      <w:r>
        <w:rPr>
          <w:rFonts w:hint="eastAsia" w:ascii="仿宋_GB2312" w:hAnsi="仿宋_GB2312" w:eastAsia="仿宋_GB2312" w:cs="仿宋_GB2312"/>
          <w:b w:val="0"/>
          <w:color w:val="000000"/>
          <w:spacing w:val="0"/>
          <w:kern w:val="0"/>
          <w:sz w:val="32"/>
          <w:szCs w:val="32"/>
          <w:lang w:val="en-US" w:eastAsia="zh-CN" w:bidi="ar-SA"/>
        </w:rPr>
        <w:t>成立了以党委书记为组长的法治建设机构，将法治建设纳入年度工作计划，每半年听取镇法治建设工作汇报，带头研究法治建设中重大问题，落实党政领导班子、全体机关干部集中学法、建立晨读每日一学机制、执政用法工作制度，切实提高乡村干部依法行政能力，2023年镇党委召开有关法治专题会议10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深化法治本领，法律服务更加贴心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照新形势新要求，适应统筹发展和安全的需要，强化各族干部群众国家意识、公民意识、法治意识、中华民族共同体意识，持续开展“服务总目标普法行”主题实践活动，开展“4·15”全民国家安全教育日法治宣传教育活动，加强总体国家安全观和国家安全法、反分裂国家法、国防法、反恐怖主义法、网络安全法、保密法等法律法规宣传教育；加强刑法、刑事诉讼法、社区矫正法、治安管理处罚法等法律法规宣传教育，引导各族干部群众增强国家安全意识、反恐维稳意识，促进依法惩治和预防犯罪</w:t>
      </w:r>
      <w:r>
        <w:rPr>
          <w:rFonts w:hint="eastAsia" w:ascii="Times New Roman" w:hAnsi="Times New Roman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法治宣传融入“民族团结一家亲”和民族团结联谊活动等群众工作，加强民族团结促进和创建、国家通用语言文字、宗教事务管理、去极端化、边境管理等方面法律法规的宣传教育，广泛开展普法宣传，深入推进依法治理，促进依法防范化解重大风险，不断巩固和发展平等团结互助和谐的社会主义民族关系，引导信教群众牢固树立国家意识、公民意识、法治意识，营造和谐稳定的社会环境和良好的法治环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eastAsia="楷体_GB2312" w:cs="Times New Roman"/>
          <w:b/>
          <w:kern w:val="2"/>
          <w:sz w:val="32"/>
          <w:szCs w:val="32"/>
          <w:lang w:val="en-US" w:eastAsia="zh-CN" w:bidi="ar-SA"/>
        </w:rPr>
        <w:t>深化法治作为，法律法规运用更加精准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将法治建设纳入全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发展总体规划和年度工作计划，与社会稳定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、乡村振兴工作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同部署同落实，坚持法定职责必须为、法无授权不可为，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着力实现政府职能深刻转变，把该管的事务管好、管到位，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基本形成了边界清晰、分工合理、权责一致、运行高效、保障有力的政府机构职能体系。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以自治区“法治讲堂·逢九必讲”为契机，采取“线上+线下”学习模式，常态化开展领导干部、干部职工以及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u w:val="none"/>
          <w:lang w:eastAsia="zh-CN"/>
        </w:rPr>
        <w:t>基层调解员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等法律服务人员的法治培训，进一步提高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u w:val="none"/>
          <w:lang w:eastAsia="zh-CN"/>
        </w:rPr>
        <w:t>基层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队伍依法行政水平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相继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制发了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《吉也克镇学习宣传贯彻习近平法治思想实施方案》《依法治镇工作规则》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年全面依法治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镇工作计划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》，细化分解任务，压实工作责任，加强统筹协调，全面抓好“一规划两纲要”贯彻落实，确保法治建设各项任务措施落到实处。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深化法治队伍建设，法治人才队伍更加优化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全面落实“三统一”制度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，持续规范行政执法行为，聘请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新兴律师事务所律师刘彩霞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吉也克镇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法律顾问，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三重一大决策提供法律服务，为人民群众提供优质法律服务。同时，进一步充实综合行政执法队力量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新招录3名事业编干部已到岗，目前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2名执法人员已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取得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执法证，6人已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执法证考试。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深化法治对策，突发事件应对更加顺畅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吉也克镇成立2023年春季防洪、地震、火灾救援、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林草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防火工作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、食品安全事故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等各项紧急突发事件成立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工作领导小组，确定应急预案处置流程。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畅通救援渠道，统筹抓好救援工作。镇网格化服务中心接到群众举报后三分钟内立即向镇党委、县应急办进行报告。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按照边处置边报告原则，由镇党委副书记李欢负责情报信息组，及时跟进相关救援活动信息。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迅速集结，赶往事故现场。按照边处置边报告的原则，由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晁岳斌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迅速通知各站所人员，组织应急小分队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10分钟内赶往镇政府集结。由镇人大主席负责人员集结，物资筹备、拉运等相关工作、协调周边村队调集大型挖掘机、翻斗车等机械赶往事发地点。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eastAsia="仿宋_GB2312"/>
          <w:sz w:val="32"/>
          <w:szCs w:val="32"/>
        </w:rPr>
        <w:t>健全社会矛盾纠纷行政预防调处化解体系情况。主要包括加强行政调解工作、有序推进行政裁决工作、加强和规范行政应诉工作等情况。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注重宣传引导，</w:t>
      </w: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法治氛围更加浓厚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坚持落实“谁执法谁普法”责任制，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自治区“法治新疆”网站、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法宣在线、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“裕民零距离”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媒体推动“互联网+法治宣传”，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引领法治宣传工作创新发展。通过开展“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我为群众办实事”系列宣传，“宪法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宣传月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”法治宣传教育等实践活动，落实国家工作人员日常学法、网络学法和无纸化学法考试等工作，推动全社会形成自觉守法、遇事找法、解决问题靠法的良好氛围。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4月自治区宪法法律宣传月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“5月美好生活，民法典相伴”“6.26国际禁毒日”“12月宪法宣传月”等法治宣传节点，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组织镇司法所、法庭、镇综治办、边境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派出所、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各村队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等部门，积极开展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“法治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进”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抓好重点对象法治宣传教育。截至目前，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开展宣传活动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，深入村队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次，深入学校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次，进企业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次，进机关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次；累计发放宣传资料4000余份，受教群众5400余次。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利用全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土地招投标的有力时机，深入宣传《土地承包法》《土地管理法》等相关法律法规，发放宣传材料900余份，受教育群众300余人。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_GB2312" w:cs="Times New Roman"/>
          <w:b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eastAsia="楷体_GB2312" w:cs="Times New Roman"/>
          <w:b/>
          <w:kern w:val="2"/>
          <w:sz w:val="32"/>
          <w:szCs w:val="32"/>
          <w:lang w:val="en-US" w:eastAsia="zh-CN" w:bidi="ar-SA"/>
        </w:rPr>
        <w:t>深化法治方式，矛盾纠纷化解更加便捷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。一是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“一村一法律顾问”的标准，邀请丰富经验的专业律师和基层法律服务工作者担任法律顾问，实现了法律顾问全覆盖。充分发挥法律顾问在基层的调解作用，将矛盾化解关口前移，引导法律顾问积极参与村务管理等热点、难点问题，切实将矛盾化解在基层。组织法律顾问积极为群众提供法律咨询，答疑解惑，帮助困难群众申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请法律援助，满足群众对公共法律服务的需求。今年来，法律顾问参与矛盾纠纷调解3起</w:t>
      </w:r>
      <w:r>
        <w:rPr>
          <w:rFonts w:hint="eastAsia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，申诉合同纠纷1起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坚持和发展新时代“枫桥经验”，将品牌培育和人民调解工作相结合，先后打造了“农户调解室”特色调解工作品牌。今年来，人民调解委员会共排查化解各类矛盾纠纷143起，涉及金额200多余万元，成功率100%。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黑体" w:cs="楷体_GB2312"/>
          <w:b w:val="0"/>
          <w:bCs w:val="0"/>
          <w:sz w:val="32"/>
          <w:szCs w:val="32"/>
        </w:rPr>
      </w:pPr>
      <w:r>
        <w:rPr>
          <w:rFonts w:hint="default" w:ascii="楷体_GB2312" w:hAnsi="楷体_GB2312" w:eastAsia="黑体" w:cs="楷体_GB2312"/>
          <w:b w:val="0"/>
          <w:bCs w:val="0"/>
          <w:sz w:val="32"/>
          <w:szCs w:val="32"/>
          <w:lang w:val="en"/>
        </w:rPr>
        <w:t>二、</w:t>
      </w:r>
      <w:r>
        <w:rPr>
          <w:rFonts w:hint="eastAsia" w:ascii="楷体_GB2312" w:hAnsi="楷体_GB2312" w:eastAsia="黑体" w:cs="楷体_GB2312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（一）履行主体责任不到位。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镇党委</w:t>
      </w:r>
      <w:r>
        <w:rPr>
          <w:rStyle w:val="14"/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Style w:val="14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法治</w:t>
      </w:r>
      <w:r>
        <w:rPr>
          <w:rStyle w:val="14"/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工作安排多，督促落实少，缺乏一抓到底、紧盯不放、善始善终的韧劲</w:t>
      </w:r>
      <w:r>
        <w:rPr>
          <w:rStyle w:val="14"/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Style w:val="14"/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在工作推进中，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过分注重维护稳定、安全生产、乡村振兴等重点工作，在抓班子成员、村队第一书记、党支部书记法治思想建设方面用力不足，没有形成“办事依法、遇事找法、解决问题用法、化解矛盾靠法”法治环境，导致部分群众反映强烈的突出问题没有依法得到有效解决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如，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辖区村队部分土地、宅基地、草场等历史遗留问题，没有依法彻底解决，存在矛盾隐患。究其原因，还是党委抓法治工作不细不实，压力传导不到位，缺少解决问题的法律依据，造成了工作被动。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（二）法治意识树的不牢固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对习近平法治思想学习领会不到位，不深入。平时工作中，干部职工全面系统学习法律法规的意识不强，存在用时学一学、忙时停一停的现象，没有做到学懂弄通做实。面对突发事件，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固化于原有的思维模式，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存在凭经验解决问题的现象，运用法治思维和法治方式来防范风险、处理问题、化解矛盾的能力还有很大差距。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如，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在面对重点群体进行法律政策咨询时，存在一知半解、心存疑虑的现象，究其原因，还是工作人员的法治意识树的不牢，能力不足的具体表现。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（三）法治宣传教育有欠缺。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平时开展普法活动时，过于学术化，缺乏针对性，运用群众喜闻乐见的方式开展活动的载体和方式单一，法律宣传没有深度和广度，群众学习法律法规的积极性和主动性较低，导致部分群众法律意识淡薄，尊法学法守法用法的意识不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部分上访群众，在自身的权益受到侵害时，首先想到的不是运用法律的武器来保护自身的合法权益，而是本着大闹大解决，小闹小解决，不闹不解决，信访不信法的思想，为社会稳定发展造成了不良影响。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黑体" w:cs="楷体_GB2312"/>
          <w:b w:val="0"/>
          <w:bCs w:val="0"/>
          <w:sz w:val="32"/>
          <w:szCs w:val="32"/>
          <w:lang w:val="en"/>
        </w:rPr>
      </w:pPr>
      <w:r>
        <w:rPr>
          <w:rFonts w:hint="default" w:ascii="楷体_GB2312" w:hAnsi="楷体_GB2312" w:eastAsia="黑体" w:cs="楷体_GB2312"/>
          <w:b w:val="0"/>
          <w:bCs w:val="0"/>
          <w:sz w:val="32"/>
          <w:szCs w:val="32"/>
          <w:lang w:val="en"/>
        </w:rPr>
        <w:t>三、</w:t>
      </w:r>
      <w:r>
        <w:rPr>
          <w:rFonts w:ascii="楷体_GB2312" w:eastAsia="黑体"/>
          <w:b w:val="0"/>
          <w:bCs w:val="0"/>
          <w:sz w:val="32"/>
          <w:szCs w:val="32"/>
          <w:lang w:val="en"/>
        </w:rPr>
        <w:t>下一步</w:t>
      </w:r>
      <w:r>
        <w:rPr>
          <w:rFonts w:hint="eastAsia" w:ascii="楷体_GB2312" w:hAnsi="楷体_GB2312" w:eastAsia="黑体" w:cs="楷体_GB2312"/>
          <w:b w:val="0"/>
          <w:bCs w:val="0"/>
          <w:sz w:val="32"/>
          <w:szCs w:val="32"/>
        </w:rPr>
        <w:t>工</w:t>
      </w:r>
      <w:r>
        <w:rPr>
          <w:rFonts w:hint="default" w:ascii="楷体_GB2312" w:hAnsi="楷体_GB2312" w:eastAsia="黑体" w:cs="楷体_GB2312"/>
          <w:b w:val="0"/>
          <w:bCs w:val="0"/>
          <w:sz w:val="32"/>
          <w:szCs w:val="32"/>
          <w:lang w:val="en"/>
        </w:rPr>
        <w:t>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56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（一）提高站位，树牢法治意识。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思想是行动的指南，理论是实践的基础，坚持把政治理论学习作为必修课，结合理论中心组集体学习、“主题党日”、支部学习等方式，全面系统学习习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近平法治思想，在学懂弄通做实上下真功夫、实功夫。结合司法所联合打造公共法律服务室设立“普法便利店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为群众提供公共法律服务。研究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短期、长期学习计划，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自觉主动学、及时跟进学，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eastAsia="zh-CN"/>
        </w:rPr>
        <w:t>坚决用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val="en-US" w:eastAsia="zh-CN"/>
        </w:rPr>
        <w:t>法治思想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eastAsia="zh-CN"/>
        </w:rPr>
        <w:t>武装头脑、指导实践、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val="en-US" w:eastAsia="zh-CN"/>
        </w:rPr>
        <w:t>推动工作，争取将每一名工作人员都培养为理论功底扎实、政策把握到位、实践能力强的党员干部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（二）完善制度，推进法治工作制度化和规范化。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法治工作要求，弘扬法治精神，坚守法治原则，建立健全协调配合的法治宣传教育工作长效机制。定期开展法律宣传，强化法律法规学习培训，提升镇村两级运用法治思维和法治方式防范风险、处理问题、化解矛盾的能力水平，为党的二十大胜利召开创造安全稳定的社会环境，用法治防风险、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（三）多措并举，进一步加大普法宣传力度。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开展普法宣传教育和专题培训学习。组织领导干部学习法律法规知识，发挥“关键少数”示范作用，不断提高依法决策和依法管理水平。认真开展法律知识竞赛、法律知识讲座、法律咨询等活动，深入推进法治进村队，积极开展“八五”普法，满足各族群众不断增长的法治需求，提升群众的获得感、幸福感、安全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四月将开展民法典和国家安全日为主题的有奖竞答活动，充分利用广播、微信群、电视和报刊等宣传载体，向全社会广泛宣传法律法规知识，扩大法治宣传面，让法治思想走进千家万户。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4" w:left="1531" w:header="851" w:footer="1588" w:gutter="0"/>
      <w:pgNumType w:start="1"/>
      <w:cols w:space="720" w:num="1"/>
      <w:docGrid w:type="lines" w:linePitch="287" w:charSpace="-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sz w:val="28"/>
        <w:szCs w:val="28"/>
      </w:rPr>
    </w:pPr>
    <w:r>
      <w:rPr>
        <w:rStyle w:val="13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>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3A9650C5"/>
    <w:rsid w:val="03394164"/>
    <w:rsid w:val="09D57F51"/>
    <w:rsid w:val="13C7792D"/>
    <w:rsid w:val="1CFB6CBB"/>
    <w:rsid w:val="24074309"/>
    <w:rsid w:val="3A9650C5"/>
    <w:rsid w:val="3EFCA90A"/>
    <w:rsid w:val="4BBD2BB0"/>
    <w:rsid w:val="52A65A9E"/>
    <w:rsid w:val="70703310"/>
    <w:rsid w:val="71B32292"/>
    <w:rsid w:val="72AD34FC"/>
    <w:rsid w:val="75A25221"/>
    <w:rsid w:val="76913239"/>
    <w:rsid w:val="78637E5F"/>
    <w:rsid w:val="7C2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200" w:firstLineChars="200"/>
    </w:pPr>
  </w:style>
  <w:style w:type="paragraph" w:customStyle="1" w:styleId="3">
    <w:name w:val="Body Text Indent1"/>
    <w:basedOn w:val="1"/>
    <w:autoRedefine/>
    <w:qFormat/>
    <w:uiPriority w:val="0"/>
    <w:pPr>
      <w:spacing w:after="120"/>
      <w:ind w:left="200" w:leftChars="200"/>
    </w:pPr>
    <w:rPr>
      <w:rFonts w:ascii="Calibri" w:hAnsi="Calibri" w:cs="Calibri"/>
      <w:sz w:val="24"/>
      <w:szCs w:val="24"/>
      <w:lang w:bidi="ar-SA"/>
    </w:rPr>
  </w:style>
  <w:style w:type="paragraph" w:styleId="5">
    <w:name w:val="Body Text"/>
    <w:basedOn w:val="1"/>
    <w:next w:val="1"/>
    <w:autoRedefine/>
    <w:qFormat/>
    <w:uiPriority w:val="0"/>
    <w:rPr>
      <w:rFonts w:hint="eastAsia"/>
      <w:sz w:val="21"/>
    </w:rPr>
  </w:style>
  <w:style w:type="paragraph" w:styleId="6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autoRedefine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character" w:styleId="13">
    <w:name w:val="page number"/>
    <w:basedOn w:val="12"/>
    <w:autoRedefine/>
    <w:qFormat/>
    <w:uiPriority w:val="0"/>
    <w:rPr>
      <w:rFonts w:cs="Times New Roman"/>
    </w:rPr>
  </w:style>
  <w:style w:type="character" w:customStyle="1" w:styleId="14">
    <w:name w:val=" Char Char Char1 Char Char"/>
    <w:basedOn w:val="12"/>
    <w:link w:val="15"/>
    <w:autoRedefine/>
    <w:qFormat/>
    <w:uiPriority w:val="0"/>
    <w:rPr>
      <w:rFonts w:ascii="Tahoma" w:hAnsi="Tahoma" w:eastAsia="微软雅黑" w:cs="Times New Roman"/>
      <w:kern w:val="0"/>
      <w:sz w:val="22"/>
      <w:szCs w:val="20"/>
      <w:lang w:val="en-US" w:eastAsia="zh-CN" w:bidi="ar-SA"/>
    </w:rPr>
  </w:style>
  <w:style w:type="paragraph" w:customStyle="1" w:styleId="15">
    <w:name w:val=" Char Char Char1 Char"/>
    <w:next w:val="6"/>
    <w:link w:val="14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3583</Words>
  <Characters>3622</Characters>
  <Lines>0</Lines>
  <Paragraphs>0</Paragraphs>
  <TotalTime>8</TotalTime>
  <ScaleCrop>false</ScaleCrop>
  <LinksUpToDate>false</LinksUpToDate>
  <CharactersWithSpaces>3623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2024-01-01T17:14:00Z</dcterms:created>
  <dc:creator>努尔汗</dc:creator>
  <cp:lastModifiedBy>sinner</cp:lastModifiedBy>
  <cp:lastPrinted>2024-01-11T18:37:00Z</cp:lastPrinted>
  <dcterms:modified xsi:type="dcterms:W3CDTF">2024-05-22T11:24:49Z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F070284C97A840EFA22DB54346B7E7F4</vt:lpwstr>
  </property>
</Properties>
</file>