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宋体" w:hAnsi="宋体" w:eastAsia="宋体"/>
          <w:b/>
          <w:bCs/>
          <w:color w:val="auto"/>
          <w:sz w:val="44"/>
          <w:szCs w:val="44"/>
          <w:lang w:val="en-US" w:eastAsia="zh-CN"/>
        </w:rPr>
      </w:pPr>
      <w:r>
        <w:rPr>
          <w:rFonts w:hint="eastAsia" w:ascii="宋体" w:hAnsi="宋体"/>
          <w:b/>
          <w:bCs/>
          <w:color w:val="auto"/>
          <w:sz w:val="44"/>
          <w:szCs w:val="44"/>
          <w:lang w:val="en-US" w:eastAsia="zh-CN"/>
        </w:rPr>
        <w:t xml:space="preserve">  </w:t>
      </w:r>
    </w:p>
    <w:p>
      <w:pPr>
        <w:spacing w:line="580" w:lineRule="exact"/>
        <w:jc w:val="center"/>
        <w:rPr>
          <w:rFonts w:ascii="宋体" w:hAnsi="宋体"/>
          <w:b/>
          <w:bCs/>
          <w:color w:val="auto"/>
          <w:sz w:val="44"/>
          <w:szCs w:val="44"/>
        </w:rPr>
      </w:pPr>
      <w:r>
        <w:rPr>
          <w:rFonts w:hint="eastAsia" w:ascii="宋体" w:hAnsi="宋体"/>
          <w:b/>
          <w:bCs/>
          <w:color w:val="auto"/>
          <w:sz w:val="44"/>
          <w:szCs w:val="44"/>
        </w:rPr>
        <w:t xml:space="preserve"> </w:t>
      </w:r>
    </w:p>
    <w:p>
      <w:pPr>
        <w:spacing w:line="580" w:lineRule="exact"/>
        <w:jc w:val="center"/>
        <w:rPr>
          <w:rFonts w:ascii="宋体" w:hAnsi="宋体"/>
          <w:b/>
          <w:bCs/>
          <w:color w:val="auto"/>
          <w:sz w:val="44"/>
          <w:szCs w:val="44"/>
        </w:rPr>
      </w:pPr>
      <w:r>
        <w:rPr>
          <w:rFonts w:hint="eastAsia" w:ascii="宋体" w:hAnsi="宋体"/>
          <w:b/>
          <w:bCs/>
          <w:color w:val="auto"/>
          <w:sz w:val="44"/>
          <w:szCs w:val="44"/>
        </w:rPr>
        <w:t xml:space="preserve"> </w:t>
      </w:r>
    </w:p>
    <w:p>
      <w:pPr>
        <w:spacing w:line="580" w:lineRule="exact"/>
        <w:jc w:val="center"/>
        <w:rPr>
          <w:rFonts w:ascii="宋体" w:hAnsi="宋体"/>
          <w:b/>
          <w:bCs/>
          <w:color w:val="auto"/>
          <w:sz w:val="44"/>
          <w:szCs w:val="44"/>
        </w:rPr>
      </w:pPr>
      <w:r>
        <w:rPr>
          <w:rFonts w:hint="eastAsia" w:ascii="宋体" w:hAnsi="宋体"/>
          <w:b/>
          <w:bCs/>
          <w:color w:val="auto"/>
          <w:sz w:val="44"/>
          <w:szCs w:val="44"/>
        </w:rPr>
        <w:t xml:space="preserve"> </w:t>
      </w:r>
    </w:p>
    <w:p>
      <w:pPr>
        <w:spacing w:line="720" w:lineRule="auto"/>
        <w:ind w:left="-358" w:leftChars="-171" w:right="-153" w:rightChars="-73" w:hanging="1"/>
        <w:jc w:val="distribute"/>
        <w:rPr>
          <w:rFonts w:ascii="方正小标宋简体" w:hAnsi="宋体" w:eastAsia="方正小标宋简体" w:cs="宋体"/>
          <w:color w:val="auto"/>
          <w:kern w:val="10"/>
          <w:sz w:val="84"/>
          <w:szCs w:val="84"/>
        </w:rPr>
      </w:pPr>
      <w:r>
        <w:rPr>
          <w:rFonts w:hint="eastAsia" w:ascii="方正小标宋简体" w:hAnsi="宋体" w:eastAsia="方正小标宋简体" w:cs="宋体"/>
          <w:color w:val="auto"/>
          <w:kern w:val="10"/>
          <w:sz w:val="84"/>
          <w:szCs w:val="84"/>
        </w:rPr>
        <w:t xml:space="preserve"> </w:t>
      </w:r>
    </w:p>
    <w:p>
      <w:pPr>
        <w:widowControl/>
        <w:jc w:val="center"/>
        <w:rPr>
          <w:rFonts w:hint="eastAsia" w:ascii="仿宋_GB2312" w:hAnsi="仿宋_GB2312" w:eastAsia="仿宋_GB2312" w:cs="仿宋_GB2312"/>
          <w:color w:val="auto"/>
          <w:kern w:val="0"/>
          <w:sz w:val="36"/>
          <w:szCs w:val="36"/>
        </w:rPr>
      </w:pPr>
      <w:r>
        <w:rPr>
          <w:rFonts w:hint="eastAsia" w:ascii="仿宋_GB2312" w:eastAsia="仿宋_GB2312"/>
          <w:color w:val="auto"/>
          <w:kern w:val="0"/>
          <w:sz w:val="28"/>
          <w:szCs w:val="28"/>
        </w:rPr>
        <w:t xml:space="preserve"> </w:t>
      </w:r>
      <w:r>
        <w:rPr>
          <w:rFonts w:hint="eastAsia" w:ascii="仿宋_GB2312" w:hAnsi="仿宋_GB2312" w:eastAsia="仿宋_GB2312" w:cs="仿宋_GB2312"/>
          <w:color w:val="auto"/>
          <w:kern w:val="0"/>
          <w:sz w:val="36"/>
          <w:szCs w:val="36"/>
        </w:rPr>
        <w:t>裕统</w:t>
      </w:r>
      <w:r>
        <w:rPr>
          <w:rFonts w:hint="eastAsia" w:ascii="仿宋_GB2312" w:hAnsi="仿宋_GB2312" w:eastAsia="仿宋_GB2312" w:cs="仿宋_GB2312"/>
          <w:color w:val="auto"/>
          <w:kern w:val="0"/>
          <w:sz w:val="36"/>
          <w:szCs w:val="36"/>
          <w:lang w:eastAsia="zh-CN"/>
        </w:rPr>
        <w:t>发</w:t>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color w:val="auto"/>
          <w:kern w:val="0"/>
          <w:sz w:val="36"/>
          <w:szCs w:val="36"/>
          <w:lang w:eastAsia="zh-CN"/>
        </w:rPr>
        <w:t>202</w:t>
      </w:r>
      <w:r>
        <w:rPr>
          <w:rFonts w:hint="eastAsia" w:ascii="仿宋_GB2312" w:hAnsi="仿宋_GB2312" w:eastAsia="仿宋_GB2312" w:cs="仿宋_GB2312"/>
          <w:color w:val="auto"/>
          <w:kern w:val="0"/>
          <w:sz w:val="36"/>
          <w:szCs w:val="36"/>
          <w:lang w:val="en-US" w:eastAsia="zh-CN"/>
        </w:rPr>
        <w:t>4</w:t>
      </w:r>
      <w:r>
        <w:rPr>
          <w:rFonts w:hint="eastAsia" w:ascii="仿宋_GB2312"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lang w:val="en-US" w:eastAsia="zh-CN"/>
        </w:rPr>
        <w:t>20</w:t>
      </w:r>
      <w:r>
        <w:rPr>
          <w:rFonts w:hint="eastAsia" w:ascii="仿宋_GB2312" w:hAnsi="仿宋_GB2312" w:eastAsia="仿宋_GB2312" w:cs="仿宋_GB2312"/>
          <w:color w:val="auto"/>
          <w:kern w:val="0"/>
          <w:sz w:val="36"/>
          <w:szCs w:val="36"/>
        </w:rPr>
        <w:t>号</w:t>
      </w:r>
    </w:p>
    <w:p>
      <w:pPr>
        <w:spacing w:line="520" w:lineRule="exact"/>
        <w:rPr>
          <w:rFonts w:ascii="方正小标宋简体" w:hAnsi="宋体" w:eastAsia="方正小标宋简体"/>
          <w:bCs/>
          <w:color w:val="auto"/>
          <w:kern w:val="10"/>
          <w:sz w:val="36"/>
          <w:szCs w:val="36"/>
        </w:rPr>
      </w:pPr>
    </w:p>
    <w:p>
      <w:pPr>
        <w:spacing w:line="600" w:lineRule="exact"/>
        <w:jc w:val="center"/>
        <w:rPr>
          <w:rStyle w:val="11"/>
          <w:rFonts w:hint="eastAsia" w:ascii="方正小标宋简体" w:hAnsi="方正小标宋简体" w:eastAsia="方正小标宋简体" w:cs="方正小标宋简体"/>
          <w:color w:val="auto"/>
          <w:sz w:val="44"/>
          <w:szCs w:val="44"/>
        </w:rPr>
      </w:pPr>
      <w:r>
        <w:rPr>
          <w:rStyle w:val="11"/>
          <w:rFonts w:hint="eastAsia" w:ascii="方正小标宋简体" w:hAnsi="方正小标宋简体" w:eastAsia="方正小标宋简体" w:cs="方正小标宋简体"/>
          <w:color w:val="auto"/>
          <w:sz w:val="44"/>
          <w:szCs w:val="44"/>
        </w:rPr>
        <w:t>裕民县</w:t>
      </w:r>
      <w:r>
        <w:rPr>
          <w:rStyle w:val="11"/>
          <w:rFonts w:hint="eastAsia" w:ascii="方正小标宋简体" w:hAnsi="方正小标宋简体" w:eastAsia="方正小标宋简体" w:cs="方正小标宋简体"/>
          <w:color w:val="auto"/>
          <w:sz w:val="44"/>
          <w:szCs w:val="44"/>
          <w:lang w:eastAsia="zh-CN"/>
        </w:rPr>
        <w:t>2023</w:t>
      </w:r>
      <w:r>
        <w:rPr>
          <w:rStyle w:val="11"/>
          <w:rFonts w:hint="eastAsia" w:ascii="方正小标宋简体" w:hAnsi="方正小标宋简体" w:eastAsia="方正小标宋简体" w:cs="方正小标宋简体"/>
          <w:color w:val="auto"/>
          <w:sz w:val="44"/>
          <w:szCs w:val="44"/>
        </w:rPr>
        <w:t>年国民经济和社会发展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157" w:afterLines="50" w:line="600" w:lineRule="exact"/>
        <w:jc w:val="center"/>
        <w:textAlignment w:val="auto"/>
        <w:rPr>
          <w:rStyle w:val="11"/>
          <w:rFonts w:hint="eastAsia" w:ascii="方正小标宋简体" w:hAnsi="方正小标宋简体" w:eastAsia="方正小标宋简体" w:cs="方正小标宋简体"/>
          <w:color w:val="auto"/>
          <w:sz w:val="44"/>
          <w:szCs w:val="44"/>
        </w:rPr>
      </w:pPr>
      <w:r>
        <w:rPr>
          <w:rStyle w:val="11"/>
          <w:rFonts w:hint="eastAsia" w:ascii="方正小标宋简体" w:hAnsi="方正小标宋简体" w:eastAsia="方正小标宋简体" w:cs="方正小标宋简体"/>
          <w:color w:val="auto"/>
          <w:sz w:val="44"/>
          <w:szCs w:val="44"/>
        </w:rPr>
        <w:t>统 计 公 报</w:t>
      </w:r>
    </w:p>
    <w:p>
      <w:pPr>
        <w:pStyle w:val="8"/>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rPr>
          <w:rFonts w:hint="eastAsia"/>
          <w:color w:val="auto"/>
        </w:rPr>
      </w:pP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rPr>
      </w:pPr>
      <w:r>
        <w:rPr>
          <w:rFonts w:hint="eastAsia" w:ascii="仿宋_GB2312" w:eastAsia="仿宋_GB2312" w:cs="Gautami"/>
          <w:color w:val="auto"/>
          <w:kern w:val="10"/>
          <w:sz w:val="32"/>
          <w:szCs w:val="32"/>
          <w:lang w:val="en-US" w:eastAsia="zh-CN" w:bidi="ar-SA"/>
        </w:rPr>
        <w:t>2023</w:t>
      </w:r>
      <w:r>
        <w:rPr>
          <w:rFonts w:hint="eastAsia" w:ascii="仿宋_GB2312" w:hAnsi="宋体" w:eastAsia="仿宋_GB2312" w:cs="Gautami"/>
          <w:color w:val="auto"/>
          <w:kern w:val="10"/>
          <w:sz w:val="32"/>
          <w:szCs w:val="32"/>
          <w:lang w:val="en-US" w:eastAsia="zh-CN" w:bidi="ar-SA"/>
        </w:rPr>
        <w:t>年，</w:t>
      </w:r>
      <w:r>
        <w:rPr>
          <w:rFonts w:hint="eastAsia" w:ascii="仿宋_GB2312" w:eastAsia="仿宋_GB2312" w:cs="Gautami"/>
          <w:color w:val="auto"/>
          <w:kern w:val="10"/>
          <w:sz w:val="32"/>
          <w:szCs w:val="32"/>
          <w:lang w:val="en-US" w:eastAsia="zh-CN" w:bidi="ar-SA"/>
        </w:rPr>
        <w:t>裕民县</w:t>
      </w:r>
      <w:r>
        <w:rPr>
          <w:rFonts w:hint="eastAsia" w:ascii="仿宋_GB2312" w:hAnsi="仿宋_GB2312" w:eastAsia="仿宋_GB2312" w:cs="仿宋_GB2312"/>
          <w:color w:val="auto"/>
          <w:sz w:val="32"/>
          <w:szCs w:val="32"/>
          <w:lang w:val="en-US" w:eastAsia="zh-CN"/>
        </w:rPr>
        <w:t>坚持以习近平新时代中国特色社会主义思想为指导，深入学习贯彻党的二十大精神和习近平总书记关于新疆工作重要讲话重要指示批示精神，</w:t>
      </w:r>
      <w:r>
        <w:rPr>
          <w:rFonts w:hint="eastAsia" w:ascii="仿宋_GB2312" w:hAnsi="仿宋_GB2312" w:eastAsia="仿宋_GB2312" w:cs="仿宋_GB2312"/>
          <w:color w:val="auto"/>
          <w:kern w:val="0"/>
          <w:sz w:val="32"/>
          <w:szCs w:val="32"/>
          <w:highlight w:val="none"/>
          <w:lang w:val="en-US" w:eastAsia="zh-CN" w:bidi="ar"/>
        </w:rPr>
        <w:t>认真落实</w:t>
      </w:r>
      <w:r>
        <w:rPr>
          <w:rFonts w:hint="eastAsia" w:ascii="仿宋_GB2312" w:hAnsi="仿宋_GB2312" w:eastAsia="仿宋_GB2312" w:cs="仿宋_GB2312"/>
          <w:color w:val="auto"/>
          <w:sz w:val="32"/>
          <w:szCs w:val="32"/>
          <w:lang w:val="en-US" w:eastAsia="zh-CN"/>
        </w:rPr>
        <w:t>自治区党委十届历次全会工作部署，坚持稳中求进工作总基调，完整、准确、全面贯彻新发展理念，</w:t>
      </w:r>
      <w:r>
        <w:rPr>
          <w:rFonts w:hint="eastAsia" w:ascii="仿宋_GB2312" w:eastAsia="仿宋_GB2312" w:cs="Gautami"/>
          <w:color w:val="auto"/>
          <w:kern w:val="10"/>
          <w:sz w:val="32"/>
          <w:szCs w:val="32"/>
          <w:lang w:val="en-US" w:eastAsia="zh-CN" w:bidi="ar-SA"/>
        </w:rPr>
        <w:t>持续解放思想，把握重大机遇，正视困难挑战，求真务实、真抓实干，着力在推动经济社会高质量发展中破解各类矛盾和问题，</w:t>
      </w:r>
      <w:r>
        <w:rPr>
          <w:rFonts w:hint="eastAsia" w:ascii="仿宋_GB2312" w:hAnsi="仿宋_GB2312" w:eastAsia="仿宋_GB2312" w:cs="仿宋_GB2312"/>
          <w:color w:val="auto"/>
          <w:sz w:val="32"/>
          <w:szCs w:val="32"/>
          <w:lang w:val="en-US" w:eastAsia="zh-CN"/>
        </w:rPr>
        <w:t>扎实推动经济高质量发展，全年各项经济指标平稳增长。</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一、综合</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line="580" w:lineRule="exact"/>
        <w:ind w:left="0" w:leftChars="0" w:firstLine="640" w:firstLineChars="200"/>
        <w:jc w:val="both"/>
        <w:textAlignment w:val="auto"/>
        <w:outlineLvl w:val="0"/>
        <w:rPr>
          <w:rFonts w:hint="eastAsia" w:ascii="仿宋_GB2312" w:hAnsi="宋体" w:eastAsia="仿宋_GB2312" w:cs="仿宋_GB2312"/>
          <w:color w:val="auto"/>
          <w:kern w:val="10"/>
          <w:sz w:val="32"/>
          <w:szCs w:val="32"/>
          <w:highlight w:val="yellow"/>
        </w:rPr>
      </w:pPr>
      <w:r>
        <w:rPr>
          <w:rFonts w:hint="eastAsia" w:ascii="仿宋_GB2312" w:hAnsi="宋体" w:eastAsia="仿宋_GB2312" w:cs="Gautami"/>
          <w:color w:val="auto"/>
          <w:kern w:val="10"/>
          <w:sz w:val="32"/>
          <w:szCs w:val="32"/>
          <w:highlight w:val="none"/>
          <w:lang w:val="en-US" w:eastAsia="zh-CN" w:bidi="ar-SA"/>
        </w:rPr>
        <w:t>根据地区生产总值统一</w:t>
      </w:r>
      <w:r>
        <w:rPr>
          <w:rFonts w:hint="eastAsia" w:ascii="仿宋_GB2312" w:hAnsi="宋体" w:eastAsia="仿宋_GB2312" w:cs="Gautami"/>
          <w:color w:val="auto"/>
          <w:kern w:val="10"/>
          <w:sz w:val="32"/>
          <w:szCs w:val="32"/>
          <w:highlight w:val="none"/>
          <w:lang w:val="en-US" w:eastAsia="zh-CN"/>
        </w:rPr>
        <w:t>核算结果，全年实现地区生产总值（GDP）总量269329万元，按可比价格计算，</w:t>
      </w:r>
      <w:r>
        <w:rPr>
          <w:rFonts w:hint="eastAsia" w:ascii="仿宋_GB2312" w:hAnsi="宋体" w:eastAsia="仿宋_GB2312" w:cs="Gautami"/>
          <w:color w:val="auto"/>
          <w:kern w:val="10"/>
          <w:sz w:val="32"/>
          <w:szCs w:val="32"/>
          <w:highlight w:val="none"/>
          <w:lang w:eastAsia="zh-CN"/>
        </w:rPr>
        <w:t>比上年</w:t>
      </w:r>
      <w:r>
        <w:rPr>
          <w:rFonts w:hint="eastAsia" w:ascii="仿宋_GB2312" w:hAnsi="宋体" w:eastAsia="仿宋_GB2312" w:cs="Gautami"/>
          <w:color w:val="auto"/>
          <w:kern w:val="10"/>
          <w:sz w:val="32"/>
          <w:szCs w:val="32"/>
          <w:highlight w:val="none"/>
        </w:rPr>
        <w:t>增长</w:t>
      </w:r>
      <w:r>
        <w:rPr>
          <w:rFonts w:hint="eastAsia" w:ascii="仿宋_GB2312" w:hAnsi="宋体" w:eastAsia="仿宋_GB2312" w:cs="Gautami"/>
          <w:color w:val="auto"/>
          <w:kern w:val="10"/>
          <w:sz w:val="32"/>
          <w:szCs w:val="32"/>
          <w:highlight w:val="none"/>
          <w:lang w:val="en-US" w:eastAsia="zh-CN"/>
        </w:rPr>
        <w:t>1.9</w:t>
      </w:r>
      <w:r>
        <w:rPr>
          <w:rFonts w:hint="eastAsia" w:ascii="仿宋_GB2312" w:hAnsi="宋体" w:eastAsia="仿宋_GB2312" w:cs="Gautami"/>
          <w:color w:val="auto"/>
          <w:kern w:val="10"/>
          <w:sz w:val="32"/>
          <w:szCs w:val="32"/>
          <w:highlight w:val="none"/>
        </w:rPr>
        <w:t>%</w:t>
      </w:r>
      <w:r>
        <w:rPr>
          <w:rFonts w:hint="eastAsia" w:ascii="仿宋_GB2312" w:hAnsi="宋体" w:eastAsia="仿宋_GB2312" w:cs="Gautami"/>
          <w:color w:val="auto"/>
          <w:kern w:val="10"/>
          <w:sz w:val="32"/>
          <w:szCs w:val="32"/>
          <w:highlight w:val="none"/>
          <w:lang w:eastAsia="zh-CN"/>
        </w:rPr>
        <w:t>。</w:t>
      </w:r>
      <w:r>
        <w:rPr>
          <w:rFonts w:hint="eastAsia" w:ascii="仿宋_GB2312" w:hAnsi="宋体" w:eastAsia="仿宋_GB2312" w:cs="Gautami"/>
          <w:color w:val="auto"/>
          <w:kern w:val="10"/>
          <w:sz w:val="32"/>
          <w:szCs w:val="32"/>
          <w:highlight w:val="none"/>
        </w:rPr>
        <w:t>其中：第一产业完成增加值</w:t>
      </w:r>
      <w:r>
        <w:rPr>
          <w:rFonts w:hint="eastAsia" w:ascii="仿宋_GB2312" w:hAnsi="宋体" w:eastAsia="仿宋_GB2312" w:cs="Gautami"/>
          <w:color w:val="auto"/>
          <w:kern w:val="10"/>
          <w:sz w:val="32"/>
          <w:szCs w:val="32"/>
          <w:highlight w:val="none"/>
          <w:lang w:val="en-US" w:eastAsia="zh-CN"/>
        </w:rPr>
        <w:t>125559万</w:t>
      </w:r>
      <w:r>
        <w:rPr>
          <w:rFonts w:hint="eastAsia" w:ascii="仿宋_GB2312" w:hAnsi="宋体" w:eastAsia="仿宋_GB2312" w:cs="Gautami"/>
          <w:color w:val="auto"/>
          <w:kern w:val="10"/>
          <w:sz w:val="32"/>
          <w:szCs w:val="32"/>
          <w:highlight w:val="none"/>
        </w:rPr>
        <w:t>元，</w:t>
      </w:r>
      <w:r>
        <w:rPr>
          <w:rFonts w:hint="eastAsia" w:ascii="仿宋_GB2312" w:hAnsi="宋体" w:eastAsia="仿宋_GB2312" w:cs="仿宋_GB2312"/>
          <w:color w:val="auto"/>
          <w:kern w:val="10"/>
          <w:sz w:val="32"/>
          <w:szCs w:val="32"/>
          <w:highlight w:val="none"/>
        </w:rPr>
        <w:t>增长</w:t>
      </w:r>
      <w:r>
        <w:rPr>
          <w:rFonts w:hint="eastAsia" w:ascii="仿宋_GB2312" w:hAnsi="宋体" w:eastAsia="仿宋_GB2312" w:cs="仿宋_GB2312"/>
          <w:color w:val="auto"/>
          <w:kern w:val="10"/>
          <w:sz w:val="32"/>
          <w:szCs w:val="32"/>
          <w:highlight w:val="none"/>
          <w:lang w:val="en-US" w:eastAsia="zh-CN"/>
        </w:rPr>
        <w:t>5.7</w:t>
      </w:r>
      <w:r>
        <w:rPr>
          <w:rFonts w:hint="eastAsia" w:ascii="仿宋_GB2312" w:hAnsi="宋体" w:eastAsia="仿宋_GB2312" w:cs="仿宋_GB2312"/>
          <w:color w:val="auto"/>
          <w:kern w:val="10"/>
          <w:sz w:val="32"/>
          <w:szCs w:val="32"/>
          <w:highlight w:val="none"/>
        </w:rPr>
        <w:t>%；第二产业完成增加值</w:t>
      </w:r>
      <w:r>
        <w:rPr>
          <w:rFonts w:hint="eastAsia" w:ascii="仿宋_GB2312" w:hAnsi="宋体" w:eastAsia="仿宋_GB2312" w:cs="仿宋_GB2312"/>
          <w:color w:val="auto"/>
          <w:kern w:val="10"/>
          <w:sz w:val="32"/>
          <w:szCs w:val="32"/>
          <w:highlight w:val="none"/>
          <w:lang w:val="en-US" w:eastAsia="zh-CN"/>
        </w:rPr>
        <w:t>26464</w:t>
      </w:r>
      <w:r>
        <w:rPr>
          <w:rFonts w:hint="eastAsia" w:ascii="仿宋_GB2312" w:hAnsi="宋体" w:eastAsia="仿宋_GB2312" w:cs="仿宋_GB2312"/>
          <w:color w:val="auto"/>
          <w:kern w:val="10"/>
          <w:sz w:val="32"/>
          <w:szCs w:val="32"/>
          <w:highlight w:val="none"/>
        </w:rPr>
        <w:t>万元</w:t>
      </w:r>
      <w:r>
        <w:rPr>
          <w:rFonts w:hint="eastAsia" w:ascii="仿宋_GB2312" w:hAnsi="宋体" w:eastAsia="仿宋_GB2312" w:cs="仿宋_GB2312"/>
          <w:color w:val="auto"/>
          <w:kern w:val="10"/>
          <w:sz w:val="32"/>
          <w:szCs w:val="32"/>
          <w:highlight w:val="none"/>
          <w:lang w:eastAsia="zh-CN"/>
        </w:rPr>
        <w:t>，下降</w:t>
      </w:r>
      <w:r>
        <w:rPr>
          <w:rFonts w:hint="eastAsia" w:ascii="仿宋_GB2312" w:hAnsi="宋体" w:eastAsia="仿宋_GB2312" w:cs="仿宋_GB2312"/>
          <w:color w:val="auto"/>
          <w:kern w:val="10"/>
          <w:sz w:val="32"/>
          <w:szCs w:val="32"/>
          <w:highlight w:val="none"/>
          <w:lang w:val="en-US" w:eastAsia="zh-CN"/>
        </w:rPr>
        <w:t>15.3</w:t>
      </w:r>
      <w:r>
        <w:rPr>
          <w:rFonts w:hint="eastAsia" w:ascii="仿宋_GB2312" w:hAnsi="宋体" w:eastAsia="仿宋_GB2312" w:cs="仿宋_GB2312"/>
          <w:color w:val="auto"/>
          <w:kern w:val="10"/>
          <w:sz w:val="32"/>
          <w:szCs w:val="32"/>
          <w:highlight w:val="none"/>
        </w:rPr>
        <w:t>%；第三产业完成增加值</w:t>
      </w:r>
      <w:r>
        <w:rPr>
          <w:rFonts w:hint="eastAsia" w:ascii="仿宋_GB2312" w:hAnsi="宋体" w:eastAsia="仿宋_GB2312" w:cs="仿宋_GB2312"/>
          <w:color w:val="auto"/>
          <w:kern w:val="10"/>
          <w:sz w:val="32"/>
          <w:szCs w:val="32"/>
          <w:highlight w:val="none"/>
          <w:lang w:val="en-US" w:eastAsia="zh-CN"/>
        </w:rPr>
        <w:t>117305</w:t>
      </w:r>
      <w:r>
        <w:rPr>
          <w:rFonts w:hint="eastAsia" w:ascii="仿宋_GB2312" w:hAnsi="宋体" w:eastAsia="仿宋_GB2312" w:cs="仿宋_GB2312"/>
          <w:color w:val="auto"/>
          <w:kern w:val="10"/>
          <w:sz w:val="32"/>
          <w:szCs w:val="32"/>
          <w:highlight w:val="none"/>
        </w:rPr>
        <w:t>万元，增长</w:t>
      </w:r>
      <w:r>
        <w:rPr>
          <w:rFonts w:hint="eastAsia" w:ascii="仿宋_GB2312" w:hAnsi="宋体" w:eastAsia="仿宋_GB2312" w:cs="仿宋_GB2312"/>
          <w:color w:val="auto"/>
          <w:kern w:val="10"/>
          <w:sz w:val="32"/>
          <w:szCs w:val="32"/>
          <w:highlight w:val="none"/>
          <w:lang w:val="en-US" w:eastAsia="zh-CN"/>
        </w:rPr>
        <w:t>3.4</w:t>
      </w:r>
      <w:r>
        <w:rPr>
          <w:rFonts w:hint="eastAsia" w:ascii="仿宋_GB2312" w:hAnsi="宋体" w:eastAsia="仿宋_GB2312" w:cs="仿宋_GB2312"/>
          <w:color w:val="auto"/>
          <w:kern w:val="10"/>
          <w:sz w:val="32"/>
          <w:szCs w:val="32"/>
          <w:highlight w:val="none"/>
        </w:rPr>
        <w:t>%。第一产业增加值占地区生产总值比重为</w:t>
      </w:r>
      <w:r>
        <w:rPr>
          <w:rFonts w:hint="eastAsia" w:ascii="仿宋_GB2312" w:hAnsi="宋体" w:eastAsia="仿宋_GB2312" w:cs="仿宋_GB2312"/>
          <w:color w:val="auto"/>
          <w:kern w:val="10"/>
          <w:sz w:val="32"/>
          <w:szCs w:val="32"/>
          <w:highlight w:val="none"/>
          <w:lang w:val="en-US" w:eastAsia="zh-CN"/>
        </w:rPr>
        <w:t>46.6</w:t>
      </w:r>
      <w:r>
        <w:rPr>
          <w:rFonts w:hint="eastAsia" w:ascii="仿宋_GB2312" w:hAnsi="宋体" w:eastAsia="仿宋_GB2312" w:cs="仿宋_GB2312"/>
          <w:color w:val="auto"/>
          <w:kern w:val="10"/>
          <w:sz w:val="32"/>
          <w:szCs w:val="32"/>
          <w:highlight w:val="none"/>
        </w:rPr>
        <w:t>%，第二产业增加值比重为</w:t>
      </w:r>
      <w:r>
        <w:rPr>
          <w:rFonts w:hint="eastAsia" w:ascii="仿宋_GB2312" w:hAnsi="宋体" w:eastAsia="仿宋_GB2312" w:cs="仿宋_GB2312"/>
          <w:color w:val="auto"/>
          <w:kern w:val="10"/>
          <w:sz w:val="32"/>
          <w:szCs w:val="32"/>
          <w:highlight w:val="none"/>
          <w:lang w:val="en-US" w:eastAsia="zh-CN"/>
        </w:rPr>
        <w:t>9.8</w:t>
      </w:r>
      <w:r>
        <w:rPr>
          <w:rFonts w:hint="eastAsia" w:ascii="仿宋_GB2312" w:hAnsi="宋体" w:eastAsia="仿宋_GB2312" w:cs="仿宋_GB2312"/>
          <w:color w:val="auto"/>
          <w:kern w:val="10"/>
          <w:sz w:val="32"/>
          <w:szCs w:val="32"/>
          <w:highlight w:val="none"/>
        </w:rPr>
        <w:t>%，第三产业增加值比重为</w:t>
      </w:r>
      <w:r>
        <w:rPr>
          <w:rFonts w:hint="eastAsia" w:ascii="仿宋_GB2312" w:hAnsi="宋体" w:eastAsia="仿宋_GB2312" w:cs="仿宋_GB2312"/>
          <w:color w:val="auto"/>
          <w:kern w:val="10"/>
          <w:sz w:val="32"/>
          <w:szCs w:val="32"/>
          <w:highlight w:val="none"/>
          <w:lang w:val="en-US" w:eastAsia="zh-CN"/>
        </w:rPr>
        <w:t>43.6</w:t>
      </w:r>
      <w:r>
        <w:rPr>
          <w:rFonts w:hint="eastAsia" w:ascii="仿宋_GB2312" w:hAnsi="宋体" w:eastAsia="仿宋_GB2312" w:cs="仿宋_GB2312"/>
          <w:color w:val="auto"/>
          <w:kern w:val="10"/>
          <w:sz w:val="32"/>
          <w:szCs w:val="32"/>
          <w:highlight w:val="none"/>
        </w:rPr>
        <w:t>%。</w:t>
      </w:r>
    </w:p>
    <w:p>
      <w:pPr>
        <w:pStyle w:val="8"/>
        <w:rPr>
          <w:rFonts w:hint="eastAsia"/>
          <w:color w:val="auto"/>
        </w:rPr>
      </w:pPr>
    </w:p>
    <w:p>
      <w:pPr>
        <w:pStyle w:val="8"/>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rPr>
          <w:color w:val="auto"/>
        </w:rPr>
      </w:pPr>
      <w:r>
        <w:rPr>
          <w:rFonts w:hint="eastAsia" w:ascii="宋体" w:hAnsi="宋体" w:eastAsia="宋体" w:cs="宋体"/>
          <w:b/>
          <w:bCs/>
          <w:color w:val="auto"/>
          <w:kern w:val="10"/>
          <w:sz w:val="21"/>
          <w:szCs w:val="21"/>
          <w:lang w:val="en-US" w:eastAsia="zh-CN" w:bidi="ar-SA"/>
        </w:rPr>
        <w:t>图1  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2023年地区生产总值（GDP）及其增长速度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420" w:firstLineChars="200"/>
        <w:jc w:val="center"/>
        <w:textAlignment w:val="auto"/>
        <w:rPr>
          <w:rFonts w:hint="eastAsia" w:ascii="宋体" w:hAnsi="宋体" w:eastAsia="宋体" w:cs="宋体"/>
          <w:b/>
          <w:bCs/>
          <w:color w:val="auto"/>
          <w:kern w:val="10"/>
          <w:sz w:val="21"/>
          <w:szCs w:val="21"/>
          <w:lang w:val="en-US" w:eastAsia="zh-CN" w:bidi="ar-SA"/>
        </w:rPr>
      </w:pPr>
      <w:r>
        <w:rPr>
          <w:color w:val="auto"/>
        </w:rPr>
        <w:drawing>
          <wp:anchor distT="0" distB="0" distL="114300" distR="114300" simplePos="0" relativeHeight="251667456" behindDoc="0" locked="0" layoutInCell="1" allowOverlap="1">
            <wp:simplePos x="0" y="0"/>
            <wp:positionH relativeFrom="column">
              <wp:posOffset>685165</wp:posOffset>
            </wp:positionH>
            <wp:positionV relativeFrom="paragraph">
              <wp:posOffset>204470</wp:posOffset>
            </wp:positionV>
            <wp:extent cx="4277995" cy="2303780"/>
            <wp:effectExtent l="5080" t="4445" r="22225" b="1587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420" w:firstLineChars="200"/>
        <w:jc w:val="center"/>
        <w:textAlignment w:val="auto"/>
        <w:rPr>
          <w:color w:val="auto"/>
        </w:rPr>
      </w:pPr>
      <w:r>
        <w:rPr>
          <w:color w:val="auto"/>
        </w:rPr>
        <w:drawing>
          <wp:anchor distT="0" distB="0" distL="114300" distR="114300" simplePos="0" relativeHeight="251666432" behindDoc="0" locked="0" layoutInCell="1" allowOverlap="1">
            <wp:simplePos x="0" y="0"/>
            <wp:positionH relativeFrom="column">
              <wp:posOffset>633095</wp:posOffset>
            </wp:positionH>
            <wp:positionV relativeFrom="paragraph">
              <wp:posOffset>488315</wp:posOffset>
            </wp:positionV>
            <wp:extent cx="4335145" cy="2325370"/>
            <wp:effectExtent l="5080" t="4445" r="22225" b="1333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宋体" w:hAnsi="宋体" w:eastAsia="宋体" w:cs="宋体"/>
          <w:b/>
          <w:bCs/>
          <w:color w:val="auto"/>
          <w:kern w:val="10"/>
          <w:sz w:val="21"/>
          <w:szCs w:val="21"/>
          <w:lang w:val="en-US" w:eastAsia="zh-CN" w:bidi="ar-SA"/>
        </w:rPr>
        <w:t>图2  201</w:t>
      </w:r>
      <w:r>
        <w:rPr>
          <w:rFonts w:hint="eastAsia" w:ascii="宋体" w:hAnsi="宋体" w:cs="宋体"/>
          <w:b/>
          <w:bCs/>
          <w:color w:val="auto"/>
          <w:kern w:val="10"/>
          <w:sz w:val="21"/>
          <w:szCs w:val="21"/>
          <w:lang w:val="en-US" w:eastAsia="zh-CN" w:bidi="ar-SA"/>
        </w:rPr>
        <w:t>9—</w:t>
      </w:r>
      <w:r>
        <w:rPr>
          <w:rFonts w:hint="eastAsia" w:ascii="宋体" w:hAnsi="宋体" w:eastAsia="宋体" w:cs="宋体"/>
          <w:b/>
          <w:bCs/>
          <w:color w:val="auto"/>
          <w:kern w:val="10"/>
          <w:sz w:val="21"/>
          <w:szCs w:val="21"/>
          <w:lang w:val="en-US" w:eastAsia="zh-CN" w:bidi="ar-SA"/>
        </w:rPr>
        <w:t>202</w:t>
      </w:r>
      <w:r>
        <w:rPr>
          <w:rFonts w:hint="eastAsia" w:ascii="宋体" w:hAnsi="宋体"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年三次产业增加值占地区生产总值比重</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0"/>
        <w:rPr>
          <w:rFonts w:hint="eastAsia" w:ascii="仿宋_GB2312" w:hAnsi="宋体" w:eastAsia="仿宋_GB2312"/>
          <w:color w:val="auto"/>
          <w:kern w:val="10"/>
          <w:sz w:val="32"/>
          <w:lang w:val="en-US" w:eastAsia="zh-CN"/>
        </w:rPr>
      </w:pPr>
      <w:r>
        <w:rPr>
          <w:rFonts w:hint="eastAsia" w:ascii="仿宋_GB2312" w:hAnsi="宋体" w:eastAsia="仿宋_GB2312"/>
          <w:color w:val="auto"/>
          <w:kern w:val="10"/>
          <w:sz w:val="32"/>
          <w:lang w:eastAsia="zh-CN"/>
        </w:rPr>
        <w:t>全年</w:t>
      </w:r>
      <w:r>
        <w:rPr>
          <w:rFonts w:hint="eastAsia" w:ascii="仿宋_GB2312" w:hAnsi="宋体" w:eastAsia="仿宋_GB2312"/>
          <w:color w:val="auto"/>
          <w:kern w:val="10"/>
          <w:sz w:val="32"/>
        </w:rPr>
        <w:t>城镇新增就业</w:t>
      </w:r>
      <w:r>
        <w:rPr>
          <w:rFonts w:hint="eastAsia" w:ascii="仿宋_GB2312" w:hAnsi="宋体" w:eastAsia="仿宋_GB2312"/>
          <w:color w:val="auto"/>
          <w:kern w:val="10"/>
          <w:sz w:val="32"/>
          <w:lang w:val="en-US" w:eastAsia="zh-CN"/>
        </w:rPr>
        <w:t>1607</w:t>
      </w:r>
      <w:r>
        <w:rPr>
          <w:rFonts w:hint="eastAsia" w:ascii="仿宋_GB2312" w:hAnsi="宋体" w:eastAsia="仿宋_GB2312"/>
          <w:color w:val="auto"/>
          <w:kern w:val="10"/>
          <w:sz w:val="32"/>
        </w:rPr>
        <w:t>人，完成地区目标任务的</w:t>
      </w:r>
      <w:r>
        <w:rPr>
          <w:rFonts w:hint="eastAsia" w:ascii="仿宋_GB2312" w:hAnsi="宋体" w:eastAsia="仿宋_GB2312"/>
          <w:color w:val="auto"/>
          <w:kern w:val="10"/>
          <w:sz w:val="32"/>
          <w:lang w:val="en-US" w:eastAsia="zh-CN"/>
        </w:rPr>
        <w:t>103.68</w:t>
      </w:r>
      <w:r>
        <w:rPr>
          <w:rFonts w:hint="eastAsia" w:ascii="仿宋_GB2312" w:hAnsi="宋体" w:eastAsia="仿宋_GB2312"/>
          <w:color w:val="auto"/>
          <w:kern w:val="10"/>
          <w:sz w:val="32"/>
        </w:rPr>
        <w:t>%</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lang w:val="en-US" w:eastAsia="zh-CN"/>
        </w:rPr>
        <w:t>其中：</w:t>
      </w:r>
      <w:r>
        <w:rPr>
          <w:rFonts w:hint="eastAsia" w:ascii="仿宋_GB2312" w:hAnsi="宋体" w:eastAsia="仿宋_GB2312"/>
          <w:color w:val="auto"/>
          <w:kern w:val="10"/>
          <w:sz w:val="32"/>
        </w:rPr>
        <w:t>就业困难人员实现就业</w:t>
      </w:r>
      <w:r>
        <w:rPr>
          <w:rFonts w:hint="eastAsia" w:ascii="仿宋_GB2312" w:hAnsi="宋体" w:eastAsia="仿宋_GB2312"/>
          <w:color w:val="auto"/>
          <w:kern w:val="10"/>
          <w:sz w:val="32"/>
          <w:lang w:val="en-US" w:eastAsia="zh-CN"/>
        </w:rPr>
        <w:t>171</w:t>
      </w:r>
      <w:r>
        <w:rPr>
          <w:rFonts w:hint="eastAsia" w:ascii="仿宋_GB2312" w:hAnsi="宋体" w:eastAsia="仿宋_GB2312"/>
          <w:color w:val="auto"/>
          <w:kern w:val="10"/>
          <w:sz w:val="32"/>
        </w:rPr>
        <w:t>人，</w:t>
      </w:r>
      <w:r>
        <w:rPr>
          <w:rFonts w:hint="eastAsia" w:ascii="仿宋_GB2312" w:hAnsi="宋体" w:eastAsia="仿宋_GB2312"/>
          <w:color w:val="auto"/>
          <w:kern w:val="10"/>
          <w:sz w:val="32"/>
          <w:lang w:eastAsia="zh-CN"/>
        </w:rPr>
        <w:t>登记失业人员就业</w:t>
      </w:r>
      <w:r>
        <w:rPr>
          <w:rFonts w:hint="eastAsia" w:ascii="仿宋_GB2312" w:hAnsi="宋体" w:eastAsia="仿宋_GB2312"/>
          <w:color w:val="auto"/>
          <w:kern w:val="10"/>
          <w:sz w:val="32"/>
          <w:lang w:val="en-US" w:eastAsia="zh-CN"/>
        </w:rPr>
        <w:t>357人。</w:t>
      </w:r>
      <w:r>
        <w:rPr>
          <w:rFonts w:hint="eastAsia" w:ascii="仿宋_GB2312" w:hAnsi="宋体" w:eastAsia="仿宋_GB2312"/>
          <w:color w:val="auto"/>
          <w:kern w:val="10"/>
          <w:sz w:val="32"/>
        </w:rPr>
        <w:t>城镇登记失业率控制在</w:t>
      </w:r>
      <w:r>
        <w:rPr>
          <w:rFonts w:hint="eastAsia" w:ascii="仿宋_GB2312" w:hAnsi="宋体" w:eastAsia="仿宋_GB2312"/>
          <w:color w:val="auto"/>
          <w:kern w:val="10"/>
          <w:sz w:val="32"/>
          <w:lang w:val="en-US" w:eastAsia="zh-CN"/>
        </w:rPr>
        <w:t>4.5</w:t>
      </w:r>
      <w:r>
        <w:rPr>
          <w:rFonts w:hint="eastAsia" w:ascii="仿宋_GB2312" w:hAnsi="宋体" w:eastAsia="仿宋_GB2312"/>
          <w:color w:val="auto"/>
          <w:kern w:val="10"/>
          <w:sz w:val="32"/>
        </w:rPr>
        <w:t>%以内</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农村富余劳动力转移就业</w:t>
      </w:r>
      <w:r>
        <w:rPr>
          <w:rFonts w:hint="eastAsia" w:ascii="仿宋_GB2312" w:hAnsi="宋体" w:eastAsia="仿宋_GB2312"/>
          <w:color w:val="auto"/>
          <w:kern w:val="10"/>
          <w:sz w:val="32"/>
          <w:lang w:val="en-US" w:eastAsia="zh-CN"/>
        </w:rPr>
        <w:t>7326</w:t>
      </w:r>
      <w:r>
        <w:rPr>
          <w:rFonts w:hint="eastAsia" w:ascii="仿宋_GB2312" w:hAnsi="宋体" w:eastAsia="仿宋_GB2312"/>
          <w:color w:val="auto"/>
          <w:kern w:val="10"/>
          <w:sz w:val="32"/>
        </w:rPr>
        <w:t>人次，完成地区目标任务的</w:t>
      </w:r>
      <w:r>
        <w:rPr>
          <w:rFonts w:hint="eastAsia" w:ascii="仿宋_GB2312" w:hAnsi="宋体" w:eastAsia="仿宋_GB2312"/>
          <w:color w:val="auto"/>
          <w:kern w:val="10"/>
          <w:sz w:val="32"/>
          <w:lang w:val="en-US" w:eastAsia="zh-CN"/>
        </w:rPr>
        <w:t>104.65</w:t>
      </w:r>
      <w:r>
        <w:rPr>
          <w:rFonts w:hint="eastAsia" w:ascii="仿宋_GB2312" w:hAnsi="宋体" w:eastAsia="仿宋_GB2312"/>
          <w:color w:val="auto"/>
          <w:kern w:val="10"/>
          <w:sz w:val="32"/>
        </w:rPr>
        <w:t>%</w:t>
      </w:r>
      <w:r>
        <w:rPr>
          <w:rFonts w:hint="eastAsia" w:ascii="仿宋_GB2312" w:hAnsi="宋体" w:eastAsia="仿宋_GB2312"/>
          <w:color w:val="auto"/>
          <w:kern w:val="10"/>
          <w:sz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宋体" w:cs="宋体"/>
          <w:i w:val="0"/>
          <w:caps w:val="0"/>
          <w:color w:val="auto"/>
          <w:spacing w:val="0"/>
          <w:sz w:val="21"/>
          <w:szCs w:val="21"/>
          <w:shd w:val="clear" w:fill="FFFFFF"/>
        </w:rPr>
      </w:pPr>
      <w:r>
        <w:rPr>
          <w:rFonts w:hint="eastAsia" w:ascii="仿宋_GB2312" w:hAnsi="宋体" w:eastAsia="仿宋_GB2312"/>
          <w:color w:val="auto"/>
          <w:kern w:val="10"/>
          <w:sz w:val="32"/>
        </w:rPr>
        <w:t>年末</w:t>
      </w:r>
      <w:r>
        <w:rPr>
          <w:rFonts w:hint="eastAsia" w:ascii="仿宋_GB2312" w:hAnsi="宋体" w:eastAsia="仿宋_GB2312"/>
          <w:color w:val="auto"/>
          <w:kern w:val="10"/>
          <w:sz w:val="32"/>
          <w:lang w:eastAsia="zh-CN"/>
        </w:rPr>
        <w:t>全县</w:t>
      </w:r>
      <w:r>
        <w:rPr>
          <w:rFonts w:hint="eastAsia" w:ascii="仿宋_GB2312" w:hAnsi="宋体" w:eastAsia="仿宋_GB2312"/>
          <w:color w:val="auto"/>
          <w:kern w:val="10"/>
          <w:sz w:val="32"/>
        </w:rPr>
        <w:t>城镇自来水供应覆盖率</w:t>
      </w:r>
      <w:r>
        <w:rPr>
          <w:rFonts w:hint="eastAsia" w:ascii="仿宋_GB2312" w:hAnsi="宋体" w:eastAsia="仿宋_GB2312"/>
          <w:color w:val="auto"/>
          <w:kern w:val="10"/>
          <w:sz w:val="32"/>
          <w:lang w:val="en-US" w:eastAsia="zh-CN"/>
        </w:rPr>
        <w:t>100</w:t>
      </w:r>
      <w:r>
        <w:rPr>
          <w:rFonts w:hint="eastAsia" w:ascii="仿宋_GB2312" w:hAnsi="宋体" w:eastAsia="仿宋_GB2312"/>
          <w:color w:val="auto"/>
          <w:kern w:val="10"/>
          <w:sz w:val="32"/>
        </w:rPr>
        <w:t>%，集中供热面积135</w:t>
      </w:r>
      <w:r>
        <w:rPr>
          <w:rFonts w:hint="eastAsia" w:ascii="仿宋_GB2312" w:hAnsi="仿宋_GB2312" w:eastAsia="仿宋_GB2312" w:cs="仿宋_GB2312"/>
          <w:i w:val="0"/>
          <w:caps w:val="0"/>
          <w:color w:val="auto"/>
          <w:spacing w:val="0"/>
          <w:sz w:val="32"/>
          <w:szCs w:val="32"/>
          <w:shd w:val="clear" w:fill="FFFFFF"/>
        </w:rPr>
        <w:t>万平方</w:t>
      </w:r>
      <w:r>
        <w:rPr>
          <w:rFonts w:hint="eastAsia" w:ascii="仿宋_GB2312" w:hAnsi="宋体" w:eastAsia="仿宋_GB2312"/>
          <w:color w:val="auto"/>
          <w:kern w:val="10"/>
          <w:sz w:val="32"/>
        </w:rPr>
        <w:t>米</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污水集中处理率达100%</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生活垃</w:t>
      </w:r>
      <w:r>
        <w:rPr>
          <w:rFonts w:hint="eastAsia" w:ascii="仿宋_GB2312" w:hAnsi="仿宋_GB2312" w:eastAsia="仿宋_GB2312" w:cs="仿宋_GB2312"/>
          <w:i w:val="0"/>
          <w:caps w:val="0"/>
          <w:color w:val="auto"/>
          <w:spacing w:val="0"/>
          <w:sz w:val="32"/>
          <w:szCs w:val="32"/>
          <w:shd w:val="clear" w:fill="FFFFFF"/>
        </w:rPr>
        <w:t>圾无害化处理率达100%。</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0"/>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二、农业</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0"/>
        <w:rPr>
          <w:rFonts w:hint="eastAsia" w:ascii="仿宋_GB2312" w:hAnsi="宋体" w:eastAsia="仿宋_GB2312" w:cs="仿宋_GB2312"/>
          <w:color w:val="auto"/>
          <w:kern w:val="10"/>
          <w:sz w:val="32"/>
          <w:szCs w:val="32"/>
        </w:rPr>
      </w:pPr>
      <w:r>
        <w:rPr>
          <w:rFonts w:hint="eastAsia" w:ascii="仿宋_GB2312" w:hAnsi="宋体" w:eastAsia="仿宋_GB2312" w:cs="仿宋_GB2312"/>
          <w:color w:val="auto"/>
          <w:kern w:val="10"/>
          <w:sz w:val="32"/>
          <w:szCs w:val="32"/>
        </w:rPr>
        <w:t>全年完成现价农业总产值</w:t>
      </w:r>
      <w:r>
        <w:rPr>
          <w:rFonts w:hint="eastAsia" w:ascii="仿宋_GB2312" w:eastAsia="仿宋_GB2312" w:cs="仿宋_GB2312"/>
          <w:color w:val="auto"/>
          <w:kern w:val="10"/>
          <w:sz w:val="32"/>
          <w:szCs w:val="32"/>
          <w:lang w:val="en-US" w:eastAsia="zh-CN"/>
        </w:rPr>
        <w:t>119054</w:t>
      </w:r>
      <w:r>
        <w:rPr>
          <w:rFonts w:hint="eastAsia" w:ascii="仿宋_GB2312" w:hAnsi="宋体" w:eastAsia="仿宋_GB2312" w:cs="仿宋_GB2312"/>
          <w:color w:val="auto"/>
          <w:kern w:val="10"/>
          <w:sz w:val="32"/>
          <w:szCs w:val="32"/>
        </w:rPr>
        <w:t>万元，</w:t>
      </w:r>
      <w:r>
        <w:rPr>
          <w:rFonts w:hint="eastAsia" w:ascii="仿宋_GB2312" w:hAnsi="宋体" w:eastAsia="仿宋_GB2312" w:cs="仿宋_GB2312"/>
          <w:color w:val="auto"/>
          <w:kern w:val="10"/>
          <w:sz w:val="32"/>
          <w:szCs w:val="32"/>
          <w:lang w:eastAsia="zh-CN"/>
        </w:rPr>
        <w:t>比上年</w:t>
      </w:r>
      <w:r>
        <w:rPr>
          <w:rFonts w:hint="eastAsia" w:ascii="仿宋_GB2312" w:hAnsi="宋体" w:eastAsia="仿宋_GB2312" w:cs="仿宋_GB2312"/>
          <w:color w:val="auto"/>
          <w:kern w:val="10"/>
          <w:sz w:val="32"/>
          <w:szCs w:val="32"/>
        </w:rPr>
        <w:t>增加</w:t>
      </w:r>
      <w:r>
        <w:rPr>
          <w:rFonts w:hint="eastAsia" w:ascii="仿宋_GB2312" w:eastAsia="仿宋_GB2312" w:cs="仿宋_GB2312"/>
          <w:color w:val="auto"/>
          <w:kern w:val="10"/>
          <w:sz w:val="32"/>
          <w:szCs w:val="32"/>
          <w:lang w:val="en-US" w:eastAsia="zh-CN"/>
        </w:rPr>
        <w:t>22294</w:t>
      </w:r>
      <w:r>
        <w:rPr>
          <w:rFonts w:hint="eastAsia" w:ascii="仿宋_GB2312" w:hAnsi="宋体" w:eastAsia="仿宋_GB2312" w:cs="仿宋_GB2312"/>
          <w:color w:val="auto"/>
          <w:kern w:val="10"/>
          <w:sz w:val="32"/>
          <w:szCs w:val="32"/>
        </w:rPr>
        <w:t>万元，</w:t>
      </w:r>
      <w:r>
        <w:rPr>
          <w:rFonts w:hint="eastAsia" w:ascii="仿宋_GB2312" w:hAnsi="宋体" w:eastAsia="仿宋_GB2312" w:cs="Gautami"/>
          <w:color w:val="auto"/>
          <w:kern w:val="10"/>
          <w:sz w:val="32"/>
          <w:szCs w:val="32"/>
          <w:lang w:val="en-US" w:eastAsia="zh-CN"/>
        </w:rPr>
        <w:t>按可比价格计算，</w:t>
      </w:r>
      <w:r>
        <w:rPr>
          <w:rFonts w:hint="eastAsia" w:ascii="仿宋_GB2312" w:hAnsi="宋体" w:eastAsia="仿宋_GB2312" w:cs="仿宋_GB2312"/>
          <w:color w:val="auto"/>
          <w:kern w:val="10"/>
          <w:sz w:val="32"/>
          <w:szCs w:val="32"/>
        </w:rPr>
        <w:t>增长</w:t>
      </w:r>
      <w:r>
        <w:rPr>
          <w:rFonts w:hint="eastAsia" w:ascii="仿宋_GB2312" w:eastAsia="仿宋_GB2312" w:cs="仿宋_GB2312"/>
          <w:color w:val="auto"/>
          <w:kern w:val="10"/>
          <w:sz w:val="32"/>
          <w:szCs w:val="32"/>
          <w:lang w:val="en-US" w:eastAsia="zh-CN"/>
        </w:rPr>
        <w:t>5.9</w:t>
      </w:r>
      <w:r>
        <w:rPr>
          <w:rFonts w:hint="eastAsia" w:ascii="仿宋_GB2312" w:hAnsi="宋体" w:eastAsia="仿宋_GB2312" w:cs="仿宋_GB2312"/>
          <w:color w:val="auto"/>
          <w:kern w:val="10"/>
          <w:sz w:val="32"/>
          <w:szCs w:val="32"/>
          <w:lang w:val="en-US" w:eastAsia="zh-CN"/>
        </w:rPr>
        <w:t>%</w:t>
      </w:r>
      <w:r>
        <w:rPr>
          <w:rFonts w:hint="eastAsia" w:ascii="仿宋_GB2312" w:hAnsi="宋体" w:eastAsia="仿宋_GB2312" w:cs="仿宋_GB2312"/>
          <w:color w:val="auto"/>
          <w:kern w:val="10"/>
          <w:sz w:val="32"/>
          <w:szCs w:val="32"/>
        </w:rPr>
        <w:t>。农、林、牧、渔各业完成产值情况如下：</w:t>
      </w:r>
    </w:p>
    <w:tbl>
      <w:tblPr>
        <w:tblStyle w:val="10"/>
        <w:tblW w:w="8818" w:type="dxa"/>
        <w:tblInd w:w="0" w:type="dxa"/>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Layout w:type="fixed"/>
        <w:tblCellMar>
          <w:top w:w="0" w:type="dxa"/>
          <w:left w:w="0" w:type="dxa"/>
          <w:bottom w:w="0" w:type="dxa"/>
          <w:right w:w="0" w:type="dxa"/>
        </w:tblCellMar>
      </w:tblPr>
      <w:tblGrid>
        <w:gridCol w:w="2410"/>
        <w:gridCol w:w="1623"/>
        <w:gridCol w:w="1497"/>
        <w:gridCol w:w="1831"/>
        <w:gridCol w:w="1457"/>
      </w:tblGrid>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435" w:hRule="atLeast"/>
        </w:trPr>
        <w:tc>
          <w:tcPr>
            <w:tcW w:w="2410" w:type="dxa"/>
            <w:tcBorders>
              <w:top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指  标</w:t>
            </w:r>
          </w:p>
        </w:tc>
        <w:tc>
          <w:tcPr>
            <w:tcW w:w="1623" w:type="dxa"/>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sz w:val="24"/>
                <w:szCs w:val="24"/>
                <w:u w:val="none"/>
                <w:lang w:eastAsia="zh-CN"/>
              </w:rPr>
            </w:pPr>
            <w:r>
              <w:rPr>
                <w:rFonts w:hint="eastAsia" w:ascii="黑体" w:hAnsi="黑体" w:eastAsia="黑体" w:cs="黑体"/>
                <w:b/>
                <w:bCs w:val="0"/>
                <w:i w:val="0"/>
                <w:color w:val="auto"/>
                <w:sz w:val="24"/>
                <w:szCs w:val="24"/>
                <w:u w:val="none"/>
                <w:lang w:eastAsia="zh-CN"/>
              </w:rPr>
              <w:t>产值</w:t>
            </w:r>
          </w:p>
        </w:tc>
        <w:tc>
          <w:tcPr>
            <w:tcW w:w="1497" w:type="dxa"/>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单位</w:t>
            </w:r>
          </w:p>
        </w:tc>
        <w:tc>
          <w:tcPr>
            <w:tcW w:w="1831" w:type="dxa"/>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比上年±%</w:t>
            </w:r>
          </w:p>
        </w:tc>
        <w:tc>
          <w:tcPr>
            <w:tcW w:w="1457" w:type="dxa"/>
            <w:tcBorders>
              <w:top w:val="single" w:color="000000" w:sz="12" w:space="0"/>
              <w:left w:val="single" w:color="000000" w:sz="12"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构成%</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农林牧渔业总产值</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119054</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20" w:leftChars="0" w:hanging="420" w:hangingChars="200"/>
              <w:jc w:val="center"/>
              <w:textAlignment w:val="center"/>
              <w:rPr>
                <w:rFonts w:hint="default"/>
                <w:color w:val="auto"/>
                <w:lang w:val="en-US"/>
              </w:rPr>
            </w:pPr>
            <w:r>
              <w:rPr>
                <w:rFonts w:hint="eastAsia"/>
                <w:color w:val="auto"/>
                <w:lang w:val="en-US" w:eastAsia="zh-CN"/>
              </w:rPr>
              <w:t>23.04</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其中： 农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82125</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8.73</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68.98</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林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584</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-71.79</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0.49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畜 牧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35416</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92.84</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29.75</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渔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104</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5.05</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0.09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90" w:hRule="atLeast"/>
        </w:trPr>
        <w:tc>
          <w:tcPr>
            <w:tcW w:w="2410"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农林牧渔服务业</w:t>
            </w:r>
          </w:p>
        </w:tc>
        <w:tc>
          <w:tcPr>
            <w:tcW w:w="1623"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825</w:t>
            </w:r>
          </w:p>
        </w:tc>
        <w:tc>
          <w:tcPr>
            <w:tcW w:w="1497"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18.53</w:t>
            </w:r>
          </w:p>
        </w:tc>
        <w:tc>
          <w:tcPr>
            <w:tcW w:w="1457"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0.69</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7380"/>
        </w:tabs>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color w:val="auto"/>
          <w:kern w:val="10"/>
          <w:sz w:val="32"/>
          <w:szCs w:val="32"/>
        </w:rPr>
      </w:pPr>
      <w:r>
        <w:rPr>
          <w:rFonts w:hint="eastAsia" w:ascii="仿宋_GB2312" w:hAnsi="宋体" w:eastAsia="仿宋_GB2312"/>
          <w:color w:val="auto"/>
          <w:kern w:val="10"/>
          <w:sz w:val="32"/>
          <w:szCs w:val="32"/>
        </w:rPr>
        <w:t>全县</w:t>
      </w:r>
      <w:r>
        <w:rPr>
          <w:rFonts w:hint="eastAsia" w:ascii="仿宋_GB2312" w:hAnsi="仿宋_GB2312" w:eastAsia="仿宋_GB2312" w:cs="仿宋_GB2312"/>
          <w:b/>
          <w:bCs/>
          <w:color w:val="auto"/>
          <w:kern w:val="10"/>
          <w:sz w:val="32"/>
          <w:szCs w:val="32"/>
        </w:rPr>
        <w:t>总</w:t>
      </w:r>
      <w:r>
        <w:rPr>
          <w:rFonts w:hint="eastAsia" w:ascii="仿宋_GB2312" w:hAnsi="仿宋_GB2312" w:eastAsia="仿宋_GB2312" w:cs="仿宋_GB2312"/>
          <w:b/>
          <w:bCs/>
          <w:color w:val="auto"/>
          <w:kern w:val="10"/>
          <w:sz w:val="32"/>
          <w:szCs w:val="32"/>
          <w:lang w:eastAsia="zh-CN"/>
        </w:rPr>
        <w:t>种植</w:t>
      </w:r>
      <w:r>
        <w:rPr>
          <w:rFonts w:hint="eastAsia" w:ascii="仿宋_GB2312" w:hAnsi="仿宋_GB2312" w:eastAsia="仿宋_GB2312" w:cs="仿宋_GB2312"/>
          <w:b/>
          <w:bCs/>
          <w:color w:val="auto"/>
          <w:kern w:val="10"/>
          <w:sz w:val="32"/>
          <w:szCs w:val="32"/>
        </w:rPr>
        <w:t>面积</w:t>
      </w:r>
      <w:r>
        <w:rPr>
          <w:rFonts w:hint="eastAsia" w:ascii="仿宋_GB2312" w:hAnsi="宋体" w:eastAsia="仿宋_GB2312"/>
          <w:color w:val="auto"/>
          <w:kern w:val="10"/>
          <w:sz w:val="32"/>
          <w:szCs w:val="32"/>
          <w:lang w:val="en-US" w:eastAsia="zh-CN"/>
        </w:rPr>
        <w:t>58.37</w:t>
      </w:r>
      <w:r>
        <w:rPr>
          <w:rFonts w:hint="eastAsia" w:ascii="仿宋_GB2312" w:hAnsi="宋体" w:eastAsia="仿宋_GB2312"/>
          <w:color w:val="auto"/>
          <w:kern w:val="10"/>
          <w:sz w:val="32"/>
          <w:szCs w:val="32"/>
        </w:rPr>
        <w:t>万亩</w:t>
      </w:r>
      <w:r>
        <w:rPr>
          <w:rFonts w:hint="eastAsia" w:ascii="仿宋_GB2312" w:hAnsi="宋体" w:eastAsia="仿宋_GB2312"/>
          <w:color w:val="auto"/>
          <w:kern w:val="10"/>
          <w:sz w:val="32"/>
          <w:szCs w:val="32"/>
          <w:lang w:eastAsia="zh-CN"/>
        </w:rPr>
        <w:t>，比上年增长</w:t>
      </w:r>
      <w:r>
        <w:rPr>
          <w:rFonts w:hint="eastAsia" w:ascii="仿宋_GB2312" w:hAnsi="宋体" w:eastAsia="仿宋_GB2312"/>
          <w:color w:val="auto"/>
          <w:kern w:val="10"/>
          <w:sz w:val="32"/>
          <w:szCs w:val="32"/>
          <w:lang w:val="en-US" w:eastAsia="zh-CN"/>
        </w:rPr>
        <w:t>1.32</w:t>
      </w:r>
      <w:r>
        <w:rPr>
          <w:rFonts w:hint="eastAsia" w:ascii="仿宋_GB2312" w:hAnsi="宋体" w:eastAsia="仿宋_GB2312"/>
          <w:color w:val="auto"/>
          <w:kern w:val="10"/>
          <w:sz w:val="32"/>
          <w:szCs w:val="32"/>
        </w:rPr>
        <w:t>%</w:t>
      </w:r>
      <w:r>
        <w:rPr>
          <w:rFonts w:hint="eastAsia" w:ascii="仿宋_GB2312" w:hAnsi="宋体" w:eastAsia="仿宋_GB2312"/>
          <w:color w:val="auto"/>
          <w:kern w:val="10"/>
          <w:sz w:val="32"/>
          <w:szCs w:val="32"/>
          <w:lang w:eastAsia="zh-CN"/>
        </w:rPr>
        <w:t>。其中</w:t>
      </w:r>
      <w:r>
        <w:rPr>
          <w:rFonts w:hint="eastAsia" w:ascii="仿宋_GB2312" w:hAnsi="宋体" w:eastAsia="仿宋_GB2312"/>
          <w:b w:val="0"/>
          <w:bCs w:val="0"/>
          <w:color w:val="auto"/>
          <w:kern w:val="10"/>
          <w:sz w:val="32"/>
          <w:szCs w:val="32"/>
          <w:lang w:eastAsia="zh-CN"/>
        </w:rPr>
        <w:t>：</w:t>
      </w:r>
      <w:r>
        <w:rPr>
          <w:rFonts w:hint="eastAsia" w:ascii="仿宋_GB2312" w:hAnsi="宋体" w:eastAsia="仿宋_GB2312"/>
          <w:b w:val="0"/>
          <w:bCs w:val="0"/>
          <w:color w:val="auto"/>
          <w:kern w:val="10"/>
          <w:sz w:val="32"/>
          <w:szCs w:val="32"/>
        </w:rPr>
        <w:t>粮食作物</w:t>
      </w:r>
      <w:r>
        <w:rPr>
          <w:rFonts w:hint="eastAsia" w:ascii="仿宋_GB2312" w:hAnsi="宋体" w:eastAsia="仿宋_GB2312"/>
          <w:b w:val="0"/>
          <w:bCs w:val="0"/>
          <w:color w:val="auto"/>
          <w:kern w:val="10"/>
          <w:sz w:val="32"/>
          <w:szCs w:val="32"/>
          <w:lang w:eastAsia="zh-CN"/>
        </w:rPr>
        <w:t>种植</w:t>
      </w:r>
      <w:r>
        <w:rPr>
          <w:rFonts w:hint="eastAsia" w:ascii="仿宋_GB2312" w:hAnsi="宋体" w:eastAsia="仿宋_GB2312"/>
          <w:b w:val="0"/>
          <w:bCs w:val="0"/>
          <w:color w:val="auto"/>
          <w:kern w:val="10"/>
          <w:sz w:val="32"/>
          <w:szCs w:val="32"/>
        </w:rPr>
        <w:t>面积</w:t>
      </w:r>
      <w:r>
        <w:rPr>
          <w:rFonts w:hint="eastAsia" w:ascii="仿宋_GB2312" w:hAnsi="宋体" w:eastAsia="仿宋_GB2312"/>
          <w:b w:val="0"/>
          <w:bCs w:val="0"/>
          <w:color w:val="auto"/>
          <w:kern w:val="10"/>
          <w:sz w:val="32"/>
          <w:szCs w:val="32"/>
          <w:lang w:val="en-US" w:eastAsia="zh-CN"/>
        </w:rPr>
        <w:t>39.39</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增长</w:t>
      </w:r>
      <w:r>
        <w:rPr>
          <w:rFonts w:hint="eastAsia" w:ascii="仿宋_GB2312" w:hAnsi="宋体" w:eastAsia="仿宋_GB2312"/>
          <w:b w:val="0"/>
          <w:bCs w:val="0"/>
          <w:color w:val="auto"/>
          <w:kern w:val="10"/>
          <w:sz w:val="32"/>
          <w:szCs w:val="32"/>
          <w:lang w:val="en-US" w:eastAsia="zh-CN"/>
        </w:rPr>
        <w:t>3.99</w:t>
      </w:r>
      <w:r>
        <w:rPr>
          <w:rFonts w:hint="eastAsia" w:ascii="仿宋_GB2312" w:hAnsi="宋体" w:eastAsia="仿宋_GB2312"/>
          <w:b w:val="0"/>
          <w:bCs w:val="0"/>
          <w:color w:val="auto"/>
          <w:kern w:val="10"/>
          <w:sz w:val="32"/>
          <w:szCs w:val="32"/>
        </w:rPr>
        <w:t>%，占总面积的</w:t>
      </w:r>
      <w:r>
        <w:rPr>
          <w:rFonts w:hint="eastAsia" w:ascii="仿宋_GB2312" w:hAnsi="宋体" w:eastAsia="仿宋_GB2312"/>
          <w:b w:val="0"/>
          <w:bCs w:val="0"/>
          <w:color w:val="auto"/>
          <w:kern w:val="10"/>
          <w:sz w:val="32"/>
          <w:szCs w:val="32"/>
          <w:lang w:val="en-US" w:eastAsia="zh-CN"/>
        </w:rPr>
        <w:t>67.48%</w:t>
      </w:r>
      <w:r>
        <w:rPr>
          <w:rFonts w:hint="eastAsia" w:ascii="仿宋_GB2312" w:hAnsi="宋体" w:eastAsia="仿宋_GB2312"/>
          <w:b w:val="0"/>
          <w:bCs w:val="0"/>
          <w:color w:val="auto"/>
          <w:kern w:val="10"/>
          <w:sz w:val="32"/>
          <w:szCs w:val="32"/>
        </w:rPr>
        <w:t>（小麦</w:t>
      </w:r>
      <w:r>
        <w:rPr>
          <w:rFonts w:hint="eastAsia" w:ascii="仿宋_GB2312" w:hAnsi="宋体" w:eastAsia="仿宋_GB2312"/>
          <w:b w:val="0"/>
          <w:bCs w:val="0"/>
          <w:color w:val="auto"/>
          <w:kern w:val="10"/>
          <w:sz w:val="32"/>
          <w:szCs w:val="32"/>
          <w:lang w:val="en-US" w:eastAsia="zh-CN"/>
        </w:rPr>
        <w:t>16.19</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下降</w:t>
      </w:r>
      <w:r>
        <w:rPr>
          <w:rFonts w:hint="eastAsia" w:ascii="仿宋_GB2312" w:hAnsi="宋体" w:eastAsia="仿宋_GB2312"/>
          <w:b w:val="0"/>
          <w:bCs w:val="0"/>
          <w:color w:val="auto"/>
          <w:kern w:val="10"/>
          <w:sz w:val="32"/>
          <w:szCs w:val="32"/>
          <w:lang w:val="en-US" w:eastAsia="zh-CN"/>
        </w:rPr>
        <w:t>2.53</w:t>
      </w:r>
      <w:r>
        <w:rPr>
          <w:rFonts w:hint="eastAsia" w:ascii="仿宋_GB2312" w:hAnsi="宋体" w:eastAsia="仿宋_GB2312"/>
          <w:b w:val="0"/>
          <w:bCs w:val="0"/>
          <w:color w:val="auto"/>
          <w:kern w:val="10"/>
          <w:sz w:val="32"/>
          <w:szCs w:val="32"/>
        </w:rPr>
        <w:t>%；玉米</w:t>
      </w:r>
      <w:r>
        <w:rPr>
          <w:rFonts w:hint="eastAsia" w:ascii="仿宋_GB2312" w:hAnsi="宋体" w:eastAsia="仿宋_GB2312"/>
          <w:b w:val="0"/>
          <w:bCs w:val="0"/>
          <w:color w:val="auto"/>
          <w:kern w:val="10"/>
          <w:sz w:val="32"/>
          <w:szCs w:val="32"/>
          <w:lang w:val="en-US" w:eastAsia="zh-CN"/>
        </w:rPr>
        <w:t>23.20</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增长</w:t>
      </w:r>
      <w:r>
        <w:rPr>
          <w:rFonts w:hint="eastAsia" w:ascii="仿宋_GB2312" w:hAnsi="宋体" w:eastAsia="仿宋_GB2312"/>
          <w:b w:val="0"/>
          <w:bCs w:val="0"/>
          <w:color w:val="auto"/>
          <w:kern w:val="10"/>
          <w:sz w:val="32"/>
          <w:szCs w:val="32"/>
          <w:lang w:val="en-US" w:eastAsia="zh-CN"/>
        </w:rPr>
        <w:t>9.59</w:t>
      </w:r>
      <w:r>
        <w:rPr>
          <w:rFonts w:hint="eastAsia" w:ascii="仿宋_GB2312" w:hAnsi="宋体" w:eastAsia="仿宋_GB2312"/>
          <w:b w:val="0"/>
          <w:bCs w:val="0"/>
          <w:color w:val="auto"/>
          <w:kern w:val="10"/>
          <w:sz w:val="32"/>
          <w:szCs w:val="32"/>
        </w:rPr>
        <w:t>%）；经济作物</w:t>
      </w:r>
      <w:r>
        <w:rPr>
          <w:rFonts w:hint="eastAsia" w:ascii="仿宋_GB2312" w:hAnsi="宋体" w:eastAsia="仿宋_GB2312"/>
          <w:b w:val="0"/>
          <w:bCs w:val="0"/>
          <w:color w:val="auto"/>
          <w:kern w:val="10"/>
          <w:sz w:val="32"/>
          <w:szCs w:val="32"/>
          <w:lang w:eastAsia="zh-CN"/>
        </w:rPr>
        <w:t>种植</w:t>
      </w:r>
      <w:r>
        <w:rPr>
          <w:rFonts w:hint="eastAsia" w:ascii="仿宋_GB2312" w:hAnsi="宋体" w:eastAsia="仿宋_GB2312"/>
          <w:b w:val="0"/>
          <w:bCs w:val="0"/>
          <w:color w:val="auto"/>
          <w:kern w:val="10"/>
          <w:sz w:val="32"/>
          <w:szCs w:val="32"/>
        </w:rPr>
        <w:t>面积</w:t>
      </w:r>
      <w:r>
        <w:rPr>
          <w:rFonts w:hint="eastAsia" w:ascii="仿宋_GB2312" w:hAnsi="宋体" w:eastAsia="仿宋_GB2312"/>
          <w:b w:val="0"/>
          <w:bCs w:val="0"/>
          <w:color w:val="auto"/>
          <w:kern w:val="10"/>
          <w:sz w:val="32"/>
          <w:szCs w:val="32"/>
          <w:lang w:val="en-US" w:eastAsia="zh-CN"/>
        </w:rPr>
        <w:t>16.07</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下降</w:t>
      </w:r>
      <w:r>
        <w:rPr>
          <w:rFonts w:hint="eastAsia" w:ascii="仿宋_GB2312" w:hAnsi="宋体" w:eastAsia="仿宋_GB2312"/>
          <w:b w:val="0"/>
          <w:bCs w:val="0"/>
          <w:color w:val="auto"/>
          <w:kern w:val="10"/>
          <w:sz w:val="32"/>
          <w:szCs w:val="32"/>
          <w:lang w:val="en-US" w:eastAsia="zh-CN"/>
        </w:rPr>
        <w:t>4.12</w:t>
      </w:r>
      <w:r>
        <w:rPr>
          <w:rFonts w:hint="eastAsia" w:ascii="仿宋_GB2312" w:hAnsi="宋体" w:eastAsia="仿宋_GB2312"/>
          <w:b w:val="0"/>
          <w:bCs w:val="0"/>
          <w:color w:val="auto"/>
          <w:kern w:val="10"/>
          <w:sz w:val="32"/>
          <w:szCs w:val="32"/>
        </w:rPr>
        <w:t>%，占总面积的</w:t>
      </w:r>
      <w:r>
        <w:rPr>
          <w:rFonts w:hint="eastAsia" w:ascii="仿宋_GB2312" w:hAnsi="宋体" w:eastAsia="仿宋_GB2312"/>
          <w:b w:val="0"/>
          <w:bCs w:val="0"/>
          <w:color w:val="auto"/>
          <w:kern w:val="10"/>
          <w:sz w:val="32"/>
          <w:szCs w:val="32"/>
          <w:lang w:val="en-US" w:eastAsia="zh-CN"/>
        </w:rPr>
        <w:t>27.53</w:t>
      </w:r>
      <w:r>
        <w:rPr>
          <w:rFonts w:hint="eastAsia" w:ascii="仿宋_GB2312" w:hAnsi="宋体" w:eastAsia="仿宋_GB2312"/>
          <w:b w:val="0"/>
          <w:bCs w:val="0"/>
          <w:color w:val="auto"/>
          <w:kern w:val="10"/>
          <w:sz w:val="32"/>
          <w:szCs w:val="32"/>
        </w:rPr>
        <w:t>%（红花</w:t>
      </w:r>
      <w:r>
        <w:rPr>
          <w:rFonts w:hint="eastAsia" w:ascii="仿宋_GB2312" w:hAnsi="宋体" w:eastAsia="仿宋_GB2312"/>
          <w:b w:val="0"/>
          <w:bCs w:val="0"/>
          <w:color w:val="auto"/>
          <w:kern w:val="10"/>
          <w:sz w:val="32"/>
          <w:szCs w:val="32"/>
          <w:lang w:val="en-US" w:eastAsia="zh-CN"/>
        </w:rPr>
        <w:t>15.27</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持平</w:t>
      </w:r>
      <w:r>
        <w:rPr>
          <w:rFonts w:hint="eastAsia" w:ascii="仿宋_GB2312" w:hAnsi="宋体" w:eastAsia="仿宋_GB2312"/>
          <w:b w:val="0"/>
          <w:bCs w:val="0"/>
          <w:color w:val="auto"/>
          <w:kern w:val="10"/>
          <w:sz w:val="32"/>
          <w:szCs w:val="32"/>
        </w:rPr>
        <w:t>；打瓜</w:t>
      </w:r>
      <w:r>
        <w:rPr>
          <w:rFonts w:hint="eastAsia" w:ascii="仿宋_GB2312" w:hAnsi="宋体" w:eastAsia="仿宋_GB2312"/>
          <w:b w:val="0"/>
          <w:bCs w:val="0"/>
          <w:color w:val="auto"/>
          <w:kern w:val="10"/>
          <w:sz w:val="32"/>
          <w:szCs w:val="32"/>
          <w:lang w:val="en-US" w:eastAsia="zh-CN"/>
        </w:rPr>
        <w:t>0.80</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减少</w:t>
      </w:r>
      <w:r>
        <w:rPr>
          <w:rFonts w:hint="eastAsia" w:ascii="仿宋_GB2312" w:hAnsi="宋体" w:eastAsia="仿宋_GB2312"/>
          <w:b w:val="0"/>
          <w:bCs w:val="0"/>
          <w:color w:val="auto"/>
          <w:kern w:val="10"/>
          <w:sz w:val="32"/>
          <w:szCs w:val="32"/>
          <w:lang w:val="en-US" w:eastAsia="zh-CN"/>
        </w:rPr>
        <w:t>46.31</w:t>
      </w:r>
      <w:r>
        <w:rPr>
          <w:rFonts w:hint="eastAsia" w:ascii="仿宋_GB2312" w:hAnsi="宋体" w:eastAsia="仿宋_GB2312"/>
          <w:b w:val="0"/>
          <w:bCs w:val="0"/>
          <w:color w:val="auto"/>
          <w:kern w:val="10"/>
          <w:sz w:val="32"/>
          <w:szCs w:val="32"/>
        </w:rPr>
        <w:t>%）；</w:t>
      </w:r>
      <w:r>
        <w:rPr>
          <w:rFonts w:hint="eastAsia" w:ascii="仿宋_GB2312" w:hAnsi="宋体" w:eastAsia="仿宋_GB2312"/>
          <w:b w:val="0"/>
          <w:bCs w:val="0"/>
          <w:color w:val="auto"/>
          <w:kern w:val="10"/>
          <w:sz w:val="32"/>
          <w:szCs w:val="32"/>
          <w:lang w:eastAsia="zh-CN"/>
        </w:rPr>
        <w:t>其他作物种植</w:t>
      </w:r>
      <w:r>
        <w:rPr>
          <w:rFonts w:hint="eastAsia" w:ascii="仿宋_GB2312" w:hAnsi="宋体" w:eastAsia="仿宋_GB2312"/>
          <w:b w:val="0"/>
          <w:bCs w:val="0"/>
          <w:color w:val="auto"/>
          <w:kern w:val="10"/>
          <w:sz w:val="32"/>
          <w:szCs w:val="32"/>
        </w:rPr>
        <w:t>面积</w:t>
      </w:r>
      <w:r>
        <w:rPr>
          <w:rFonts w:hint="eastAsia" w:ascii="仿宋_GB2312" w:hAnsi="宋体" w:eastAsia="仿宋_GB2312"/>
          <w:b w:val="0"/>
          <w:bCs w:val="0"/>
          <w:color w:val="auto"/>
          <w:kern w:val="10"/>
          <w:sz w:val="32"/>
          <w:szCs w:val="32"/>
          <w:lang w:val="en-US" w:eastAsia="zh-CN"/>
        </w:rPr>
        <w:t>2.91</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下降</w:t>
      </w:r>
      <w:r>
        <w:rPr>
          <w:rFonts w:hint="eastAsia" w:ascii="仿宋_GB2312" w:hAnsi="宋体" w:eastAsia="仿宋_GB2312"/>
          <w:b w:val="0"/>
          <w:bCs w:val="0"/>
          <w:color w:val="auto"/>
          <w:kern w:val="10"/>
          <w:sz w:val="32"/>
          <w:szCs w:val="32"/>
          <w:lang w:val="en-US" w:eastAsia="zh-CN"/>
        </w:rPr>
        <w:t>5.52%</w:t>
      </w:r>
      <w:r>
        <w:rPr>
          <w:rFonts w:hint="eastAsia" w:ascii="仿宋_GB2312" w:hAnsi="宋体" w:eastAsia="仿宋_GB2312"/>
          <w:b w:val="0"/>
          <w:bCs w:val="0"/>
          <w:color w:val="auto"/>
          <w:kern w:val="10"/>
          <w:sz w:val="32"/>
          <w:szCs w:val="32"/>
        </w:rPr>
        <w:t>，占</w:t>
      </w:r>
      <w:r>
        <w:rPr>
          <w:rFonts w:hint="eastAsia" w:ascii="仿宋_GB2312" w:hAnsi="宋体" w:eastAsia="仿宋_GB2312"/>
          <w:b w:val="0"/>
          <w:bCs w:val="0"/>
          <w:color w:val="auto"/>
          <w:kern w:val="10"/>
          <w:sz w:val="32"/>
          <w:szCs w:val="32"/>
          <w:lang w:eastAsia="zh-CN"/>
        </w:rPr>
        <w:t>总</w:t>
      </w:r>
      <w:r>
        <w:rPr>
          <w:rFonts w:hint="eastAsia" w:ascii="仿宋_GB2312" w:hAnsi="宋体" w:eastAsia="仿宋_GB2312"/>
          <w:b w:val="0"/>
          <w:bCs w:val="0"/>
          <w:color w:val="auto"/>
          <w:kern w:val="10"/>
          <w:sz w:val="32"/>
          <w:szCs w:val="32"/>
        </w:rPr>
        <w:t>面积的</w:t>
      </w:r>
      <w:r>
        <w:rPr>
          <w:rFonts w:hint="eastAsia" w:ascii="仿宋_GB2312" w:hAnsi="宋体" w:eastAsia="仿宋_GB2312"/>
          <w:b w:val="0"/>
          <w:bCs w:val="0"/>
          <w:color w:val="auto"/>
          <w:kern w:val="10"/>
          <w:sz w:val="32"/>
          <w:szCs w:val="32"/>
          <w:lang w:val="en-US" w:eastAsia="zh-CN"/>
        </w:rPr>
        <w:t>4.9</w:t>
      </w:r>
      <w:r>
        <w:rPr>
          <w:rFonts w:hint="eastAsia" w:ascii="仿宋_GB2312" w:hAnsi="宋体" w:eastAsia="仿宋_GB2312"/>
          <w:b w:val="0"/>
          <w:bCs w:val="0"/>
          <w:color w:val="auto"/>
          <w:kern w:val="10"/>
          <w:sz w:val="32"/>
          <w:szCs w:val="32"/>
          <w:highlight w:val="none"/>
          <w:lang w:val="en-US" w:eastAsia="zh-CN"/>
        </w:rPr>
        <w:t>9</w:t>
      </w:r>
      <w:r>
        <w:rPr>
          <w:rFonts w:hint="eastAsia" w:ascii="仿宋_GB2312" w:hAnsi="宋体" w:eastAsia="仿宋_GB2312"/>
          <w:b w:val="0"/>
          <w:bCs w:val="0"/>
          <w:color w:val="auto"/>
          <w:kern w:val="10"/>
          <w:sz w:val="32"/>
          <w:szCs w:val="32"/>
          <w:highlight w:val="none"/>
        </w:rPr>
        <w:t>%。粮经饲</w:t>
      </w:r>
      <w:r>
        <w:rPr>
          <w:rFonts w:hint="eastAsia" w:ascii="仿宋_GB2312" w:hAnsi="宋体" w:eastAsia="仿宋_GB2312"/>
          <w:color w:val="auto"/>
          <w:kern w:val="10"/>
          <w:sz w:val="32"/>
          <w:szCs w:val="32"/>
          <w:highlight w:val="none"/>
        </w:rPr>
        <w:t>三类作物比例为</w:t>
      </w:r>
      <w:r>
        <w:rPr>
          <w:rFonts w:hint="eastAsia" w:ascii="仿宋_GB2312" w:hAnsi="宋体" w:eastAsia="仿宋_GB2312"/>
          <w:color w:val="auto"/>
          <w:kern w:val="10"/>
          <w:sz w:val="32"/>
          <w:szCs w:val="32"/>
          <w:highlight w:val="none"/>
          <w:lang w:val="en-US" w:eastAsia="zh-CN"/>
        </w:rPr>
        <w:t>67：28</w:t>
      </w:r>
      <w:r>
        <w:rPr>
          <w:rFonts w:hint="eastAsia" w:ascii="仿宋_GB2312" w:hAnsi="宋体" w:eastAsia="仿宋_GB2312"/>
          <w:color w:val="auto"/>
          <w:kern w:val="10"/>
          <w:sz w:val="32"/>
          <w:szCs w:val="32"/>
          <w:highlight w:val="none"/>
        </w:rPr>
        <w:t>：</w:t>
      </w:r>
      <w:r>
        <w:rPr>
          <w:rFonts w:hint="eastAsia" w:ascii="仿宋_GB2312" w:hAnsi="宋体" w:eastAsia="仿宋_GB2312"/>
          <w:color w:val="auto"/>
          <w:kern w:val="10"/>
          <w:sz w:val="32"/>
          <w:szCs w:val="32"/>
          <w:highlight w:val="none"/>
          <w:lang w:val="en-US" w:eastAsia="zh-CN"/>
        </w:rPr>
        <w:t>5</w:t>
      </w:r>
      <w:r>
        <w:rPr>
          <w:rFonts w:hint="eastAsia" w:ascii="仿宋_GB2312" w:hAnsi="宋体" w:eastAsia="仿宋_GB2312"/>
          <w:color w:val="auto"/>
          <w:kern w:val="10"/>
          <w:sz w:val="32"/>
          <w:szCs w:val="32"/>
          <w:highlight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rPr>
      </w:pPr>
      <w:r>
        <w:rPr>
          <w:rFonts w:hint="eastAsia" w:ascii="仿宋_GB2312" w:hAnsi="宋体" w:eastAsia="仿宋_GB2312"/>
          <w:color w:val="auto"/>
          <w:kern w:val="10"/>
          <w:sz w:val="32"/>
          <w:szCs w:val="32"/>
        </w:rPr>
        <w:t>主要农产品产量如下：</w:t>
      </w:r>
    </w:p>
    <w:tbl>
      <w:tblPr>
        <w:tblStyle w:val="10"/>
        <w:tblW w:w="8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95"/>
        <w:gridCol w:w="2173"/>
        <w:gridCol w:w="20"/>
        <w:gridCol w:w="1915"/>
        <w:gridCol w:w="12"/>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指  标</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产量</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单位</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粮    食</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215511</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 小    麦</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50550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玉    米</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164960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红 花 籽</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11392</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打 瓜 籽</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1236</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薯    类</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苜    蓿</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95" w:type="dxa"/>
            <w:tcBorders>
              <w:top w:val="single" w:color="000000" w:sz="8"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番    茄</w:t>
            </w:r>
          </w:p>
        </w:tc>
        <w:tc>
          <w:tcPr>
            <w:tcW w:w="2193" w:type="dxa"/>
            <w:gridSpan w:val="2"/>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5586</w:t>
            </w:r>
          </w:p>
        </w:tc>
        <w:tc>
          <w:tcPr>
            <w:tcW w:w="1927" w:type="dxa"/>
            <w:gridSpan w:val="2"/>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-81.43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842" w:type="dxa"/>
            <w:gridSpan w:val="6"/>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638" w:leftChars="304" w:firstLine="0" w:firstLineChars="0"/>
              <w:jc w:val="both"/>
              <w:textAlignment w:val="center"/>
              <w:rPr>
                <w:rFonts w:hint="eastAsia" w:ascii="黑体" w:hAnsi="黑体" w:eastAsia="黑体" w:cs="黑体"/>
                <w:b/>
                <w:bCs w:val="0"/>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32"/>
                <w:szCs w:val="32"/>
                <w:u w:val="none"/>
                <w:lang w:val="en-US" w:eastAsia="zh-CN" w:bidi="ar"/>
              </w:rPr>
              <w:t>主要畜产品产量和畜牧存栏情况如下：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指  标</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产量</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单位</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肉类总产量</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10084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其中：牛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3312</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马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883</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羊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5258</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驼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20" w:leftChars="0" w:hanging="420" w:hangingChars="200"/>
              <w:jc w:val="center"/>
              <w:textAlignment w:val="center"/>
              <w:rPr>
                <w:rFonts w:hint="default"/>
                <w:color w:val="auto"/>
                <w:lang w:val="en-US"/>
              </w:rPr>
            </w:pPr>
            <w:r>
              <w:rPr>
                <w:rFonts w:hint="eastAsia"/>
                <w:color w:val="auto"/>
                <w:lang w:val="en-US" w:eastAsia="zh-CN"/>
              </w:rPr>
              <w:t>127</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猪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335</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家禽肉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169</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牛羊奶</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9370</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羊  毛</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807</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其中：绵羊毛</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561</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牛  皮</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5019</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张</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羊  皮</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46171</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张</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其中：绵羊皮</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42057</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张</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禽  蛋</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199</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牲畜年末存栏头数</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49.78</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牛</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5.34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马</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2.02</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万匹</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骆  驼</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万峰</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绵  羊</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37.03</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山  羊</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1.64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猪</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0.32</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  他</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3.03</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年内牲畜繁殖成活</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27.84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年内出栏头数</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34.65</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595" w:type="dxa"/>
            <w:tcBorders>
              <w:top w:val="single" w:color="000000" w:sz="8"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其中：卖出数</w:t>
            </w:r>
          </w:p>
        </w:tc>
        <w:tc>
          <w:tcPr>
            <w:tcW w:w="2173" w:type="dxa"/>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25.94</w:t>
            </w:r>
          </w:p>
        </w:tc>
        <w:tc>
          <w:tcPr>
            <w:tcW w:w="1935" w:type="dxa"/>
            <w:gridSpan w:val="2"/>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1" w:hRule="atLeast"/>
        </w:trPr>
        <w:tc>
          <w:tcPr>
            <w:tcW w:w="2595"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黑体" w:hAnsi="黑体" w:eastAsia="黑体" w:cs="黑体"/>
                <w:b/>
                <w:bCs w:val="0"/>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指  标</w:t>
            </w:r>
          </w:p>
        </w:tc>
        <w:tc>
          <w:tcPr>
            <w:tcW w:w="4108" w:type="dxa"/>
            <w:gridSpan w:val="3"/>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百分率</w:t>
            </w:r>
          </w:p>
        </w:tc>
        <w:tc>
          <w:tcPr>
            <w:tcW w:w="2139" w:type="dxa"/>
            <w:gridSpan w:val="2"/>
            <w:tcBorders>
              <w:top w:val="single" w:color="000000" w:sz="12"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595" w:type="dxa"/>
            <w:tcBorders>
              <w:top w:val="single" w:color="000000" w:sz="12"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出栏率</w:t>
            </w:r>
          </w:p>
        </w:tc>
        <w:tc>
          <w:tcPr>
            <w:tcW w:w="4108" w:type="dxa"/>
            <w:gridSpan w:val="3"/>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74.60</w:t>
            </w:r>
          </w:p>
        </w:tc>
        <w:tc>
          <w:tcPr>
            <w:tcW w:w="2139" w:type="dxa"/>
            <w:gridSpan w:val="2"/>
            <w:tcBorders>
              <w:top w:val="single" w:color="000000" w:sz="12"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商品率</w:t>
            </w:r>
          </w:p>
        </w:tc>
        <w:tc>
          <w:tcPr>
            <w:tcW w:w="4108" w:type="dxa"/>
            <w:gridSpan w:val="3"/>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91.20</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595" w:type="dxa"/>
            <w:tcBorders>
              <w:top w:val="single" w:color="000000" w:sz="8"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 xml:space="preserve">牲畜繁殖成活率 </w:t>
            </w:r>
          </w:p>
        </w:tc>
        <w:tc>
          <w:tcPr>
            <w:tcW w:w="4108" w:type="dxa"/>
            <w:gridSpan w:val="3"/>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99.96</w:t>
            </w:r>
          </w:p>
        </w:tc>
        <w:tc>
          <w:tcPr>
            <w:tcW w:w="2139" w:type="dxa"/>
            <w:gridSpan w:val="2"/>
            <w:tcBorders>
              <w:top w:val="single" w:color="000000" w:sz="8"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持平</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firstLine="640" w:firstLineChars="200"/>
        <w:textAlignment w:val="auto"/>
        <w:outlineLvl w:val="0"/>
        <w:rPr>
          <w:rFonts w:ascii="仿宋_GB2312" w:hAnsi="宋体" w:eastAsia="仿宋_GB2312"/>
          <w:color w:val="auto"/>
          <w:kern w:val="10"/>
          <w:sz w:val="32"/>
          <w:szCs w:val="32"/>
        </w:rPr>
      </w:pPr>
      <w:r>
        <w:rPr>
          <w:rFonts w:hint="eastAsia" w:ascii="仿宋_GB2312" w:hAnsi="宋体" w:eastAsia="仿宋_GB2312"/>
          <w:color w:val="auto"/>
          <w:kern w:val="10"/>
          <w:sz w:val="32"/>
          <w:szCs w:val="32"/>
          <w:lang w:eastAsia="zh-CN"/>
        </w:rPr>
        <w:t>年</w:t>
      </w:r>
      <w:r>
        <w:rPr>
          <w:rFonts w:hint="eastAsia" w:ascii="仿宋_GB2312" w:hAnsi="宋体" w:eastAsia="仿宋_GB2312"/>
          <w:color w:val="auto"/>
          <w:kern w:val="10"/>
          <w:sz w:val="32"/>
          <w:szCs w:val="32"/>
        </w:rPr>
        <w:t>末全县农业机械总动力</w:t>
      </w:r>
      <w:r>
        <w:rPr>
          <w:rFonts w:hint="eastAsia" w:ascii="仿宋_GB2312" w:hAnsi="宋体" w:eastAsia="仿宋_GB2312"/>
          <w:color w:val="auto"/>
          <w:kern w:val="10"/>
          <w:sz w:val="32"/>
          <w:szCs w:val="32"/>
          <w:lang w:val="en-US" w:eastAsia="zh-CN"/>
        </w:rPr>
        <w:t>16.68</w:t>
      </w:r>
      <w:r>
        <w:rPr>
          <w:rFonts w:hint="eastAsia" w:ascii="仿宋_GB2312" w:hAnsi="宋体" w:eastAsia="仿宋_GB2312"/>
          <w:color w:val="auto"/>
          <w:kern w:val="10"/>
          <w:sz w:val="32"/>
          <w:szCs w:val="32"/>
        </w:rPr>
        <w:t>万千瓦，</w:t>
      </w:r>
      <w:r>
        <w:rPr>
          <w:rFonts w:hint="eastAsia" w:ascii="仿宋_GB2312" w:hAnsi="宋体" w:eastAsia="仿宋_GB2312"/>
          <w:color w:val="auto"/>
          <w:kern w:val="10"/>
          <w:sz w:val="32"/>
          <w:szCs w:val="32"/>
          <w:lang w:eastAsia="zh-CN"/>
        </w:rPr>
        <w:t>比上年减少</w:t>
      </w:r>
      <w:r>
        <w:rPr>
          <w:rFonts w:hint="eastAsia" w:ascii="仿宋_GB2312" w:hAnsi="宋体" w:eastAsia="仿宋_GB2312"/>
          <w:color w:val="auto"/>
          <w:kern w:val="10"/>
          <w:sz w:val="32"/>
          <w:szCs w:val="32"/>
          <w:lang w:val="en-US" w:eastAsia="zh-CN"/>
        </w:rPr>
        <w:t>2.27</w:t>
      </w:r>
      <w:r>
        <w:rPr>
          <w:rFonts w:hint="eastAsia" w:ascii="仿宋_GB2312" w:hAnsi="宋体" w:eastAsia="仿宋_GB2312"/>
          <w:color w:val="auto"/>
          <w:kern w:val="10"/>
          <w:sz w:val="32"/>
          <w:szCs w:val="32"/>
        </w:rPr>
        <w:t>%；拥有大中型拖拉机</w:t>
      </w:r>
      <w:r>
        <w:rPr>
          <w:rFonts w:hint="eastAsia" w:ascii="仿宋_GB2312" w:hAnsi="宋体" w:eastAsia="仿宋_GB2312"/>
          <w:color w:val="auto"/>
          <w:kern w:val="10"/>
          <w:sz w:val="32"/>
          <w:szCs w:val="32"/>
          <w:lang w:val="en-US" w:eastAsia="zh-CN"/>
        </w:rPr>
        <w:t>1976</w:t>
      </w:r>
      <w:r>
        <w:rPr>
          <w:rFonts w:hint="eastAsia" w:ascii="仿宋_GB2312" w:hAnsi="宋体" w:eastAsia="仿宋_GB2312"/>
          <w:color w:val="auto"/>
          <w:kern w:val="10"/>
          <w:sz w:val="32"/>
          <w:szCs w:val="32"/>
        </w:rPr>
        <w:t>台，</w:t>
      </w:r>
      <w:r>
        <w:rPr>
          <w:rFonts w:hint="eastAsia" w:ascii="仿宋_GB2312" w:hAnsi="宋体" w:eastAsia="仿宋_GB2312"/>
          <w:color w:val="auto"/>
          <w:kern w:val="10"/>
          <w:sz w:val="32"/>
          <w:szCs w:val="32"/>
          <w:lang w:eastAsia="zh-CN"/>
        </w:rPr>
        <w:t>比上年减少</w:t>
      </w:r>
      <w:r>
        <w:rPr>
          <w:rFonts w:hint="eastAsia" w:ascii="仿宋_GB2312" w:hAnsi="宋体" w:eastAsia="仿宋_GB2312"/>
          <w:color w:val="auto"/>
          <w:kern w:val="10"/>
          <w:sz w:val="32"/>
          <w:szCs w:val="32"/>
          <w:lang w:val="en-US" w:eastAsia="zh-CN"/>
        </w:rPr>
        <w:t>121</w:t>
      </w:r>
      <w:r>
        <w:rPr>
          <w:rFonts w:hint="eastAsia" w:ascii="仿宋_GB2312" w:hAnsi="宋体" w:eastAsia="仿宋_GB2312"/>
          <w:color w:val="auto"/>
          <w:kern w:val="10"/>
          <w:sz w:val="32"/>
          <w:szCs w:val="32"/>
        </w:rPr>
        <w:t>%；小型拖拉机</w:t>
      </w:r>
      <w:r>
        <w:rPr>
          <w:rFonts w:hint="eastAsia" w:ascii="仿宋_GB2312" w:hAnsi="宋体" w:eastAsia="仿宋_GB2312"/>
          <w:color w:val="auto"/>
          <w:kern w:val="10"/>
          <w:sz w:val="32"/>
          <w:szCs w:val="32"/>
          <w:lang w:val="en-US" w:eastAsia="zh-CN"/>
        </w:rPr>
        <w:t>493</w:t>
      </w:r>
      <w:r>
        <w:rPr>
          <w:rFonts w:hint="eastAsia" w:ascii="仿宋_GB2312" w:hAnsi="宋体" w:eastAsia="仿宋_GB2312"/>
          <w:color w:val="auto"/>
          <w:kern w:val="10"/>
          <w:sz w:val="32"/>
          <w:szCs w:val="32"/>
        </w:rPr>
        <w:t>台，</w:t>
      </w:r>
      <w:r>
        <w:rPr>
          <w:rFonts w:hint="eastAsia" w:ascii="仿宋_GB2312" w:hAnsi="宋体" w:eastAsia="仿宋_GB2312"/>
          <w:color w:val="auto"/>
          <w:kern w:val="10"/>
          <w:sz w:val="32"/>
          <w:szCs w:val="32"/>
          <w:lang w:eastAsia="zh-CN"/>
        </w:rPr>
        <w:t>比上年减少</w:t>
      </w:r>
      <w:r>
        <w:rPr>
          <w:rFonts w:hint="eastAsia" w:ascii="仿宋_GB2312" w:hAnsi="宋体" w:eastAsia="仿宋_GB2312"/>
          <w:color w:val="auto"/>
          <w:kern w:val="10"/>
          <w:sz w:val="32"/>
          <w:szCs w:val="32"/>
          <w:lang w:val="en-US" w:eastAsia="zh-CN"/>
        </w:rPr>
        <w:t>1252</w:t>
      </w:r>
      <w:r>
        <w:rPr>
          <w:rFonts w:hint="eastAsia" w:ascii="仿宋_GB2312" w:hAnsi="宋体" w:eastAsia="仿宋_GB2312"/>
          <w:color w:val="auto"/>
          <w:kern w:val="10"/>
          <w:sz w:val="32"/>
          <w:szCs w:val="32"/>
        </w:rPr>
        <w:t>%；联合收割机</w:t>
      </w:r>
      <w:r>
        <w:rPr>
          <w:rFonts w:hint="eastAsia" w:ascii="仿宋_GB2312" w:hAnsi="宋体" w:eastAsia="仿宋_GB2312"/>
          <w:color w:val="auto"/>
          <w:kern w:val="10"/>
          <w:sz w:val="32"/>
          <w:szCs w:val="32"/>
          <w:lang w:val="en-US" w:eastAsia="zh-CN"/>
        </w:rPr>
        <w:t>68</w:t>
      </w:r>
      <w:r>
        <w:rPr>
          <w:rFonts w:hint="eastAsia" w:ascii="仿宋_GB2312" w:hAnsi="宋体" w:eastAsia="仿宋_GB2312"/>
          <w:color w:val="auto"/>
          <w:kern w:val="10"/>
          <w:sz w:val="32"/>
          <w:szCs w:val="32"/>
        </w:rPr>
        <w:t>台；</w:t>
      </w:r>
      <w:r>
        <w:rPr>
          <w:rFonts w:hint="eastAsia" w:ascii="仿宋_GB2312" w:hAnsi="宋体" w:eastAsia="仿宋_GB2312"/>
          <w:color w:val="auto"/>
          <w:kern w:val="10"/>
          <w:sz w:val="32"/>
          <w:szCs w:val="32"/>
          <w:lang w:eastAsia="zh-CN"/>
        </w:rPr>
        <w:t>节水</w:t>
      </w:r>
      <w:r>
        <w:rPr>
          <w:rFonts w:hint="eastAsia" w:ascii="仿宋_GB2312" w:hAnsi="宋体" w:eastAsia="仿宋_GB2312"/>
          <w:color w:val="auto"/>
          <w:kern w:val="10"/>
          <w:sz w:val="32"/>
          <w:szCs w:val="32"/>
        </w:rPr>
        <w:t>排灌机械</w:t>
      </w:r>
      <w:r>
        <w:rPr>
          <w:rFonts w:hint="eastAsia" w:ascii="仿宋_GB2312" w:hAnsi="宋体" w:eastAsia="仿宋_GB2312"/>
          <w:color w:val="auto"/>
          <w:kern w:val="10"/>
          <w:sz w:val="32"/>
          <w:szCs w:val="32"/>
          <w:lang w:val="en-US" w:eastAsia="zh-CN"/>
        </w:rPr>
        <w:t>520</w:t>
      </w:r>
      <w:r>
        <w:rPr>
          <w:rFonts w:hint="eastAsia" w:ascii="仿宋_GB2312" w:hAnsi="宋体" w:eastAsia="仿宋_GB2312"/>
          <w:color w:val="auto"/>
          <w:kern w:val="10"/>
          <w:sz w:val="32"/>
          <w:szCs w:val="32"/>
        </w:rPr>
        <w:t>台；年末拥有配套机电井</w:t>
      </w:r>
      <w:r>
        <w:rPr>
          <w:rFonts w:hint="eastAsia" w:ascii="仿宋_GB2312" w:hAnsi="宋体" w:eastAsia="仿宋_GB2312"/>
          <w:color w:val="auto"/>
          <w:kern w:val="10"/>
          <w:sz w:val="32"/>
          <w:szCs w:val="32"/>
          <w:lang w:val="en-US" w:eastAsia="zh-CN"/>
        </w:rPr>
        <w:t>643</w:t>
      </w:r>
      <w:r>
        <w:rPr>
          <w:rFonts w:hint="eastAsia" w:ascii="仿宋_GB2312" w:hAnsi="宋体" w:eastAsia="仿宋_GB2312"/>
          <w:color w:val="auto"/>
          <w:kern w:val="10"/>
          <w:sz w:val="32"/>
          <w:szCs w:val="32"/>
        </w:rPr>
        <w:t>眼</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rPr>
        <w:t>全年化肥施用量</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rPr>
        <w:t>实物量</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lang w:val="en-US" w:eastAsia="zh-CN"/>
        </w:rPr>
        <w:t>14901</w:t>
      </w:r>
      <w:r>
        <w:rPr>
          <w:rFonts w:hint="eastAsia" w:ascii="仿宋_GB2312" w:hAnsi="宋体" w:eastAsia="仿宋_GB2312"/>
          <w:color w:val="auto"/>
          <w:kern w:val="10"/>
          <w:sz w:val="32"/>
          <w:szCs w:val="32"/>
        </w:rPr>
        <w:t>吨</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rPr>
        <w:t>全县总灌溉面积</w:t>
      </w:r>
      <w:r>
        <w:rPr>
          <w:rFonts w:hint="eastAsia" w:ascii="仿宋_GB2312" w:hAnsi="宋体" w:eastAsia="仿宋_GB2312"/>
          <w:color w:val="auto"/>
          <w:kern w:val="10"/>
          <w:sz w:val="32"/>
          <w:szCs w:val="32"/>
          <w:lang w:val="en-US" w:eastAsia="zh-CN"/>
        </w:rPr>
        <w:t>42.55</w:t>
      </w:r>
      <w:r>
        <w:rPr>
          <w:rFonts w:hint="eastAsia" w:ascii="仿宋_GB2312" w:hAnsi="宋体" w:eastAsia="仿宋_GB2312"/>
          <w:color w:val="auto"/>
          <w:kern w:val="10"/>
          <w:sz w:val="32"/>
          <w:szCs w:val="32"/>
        </w:rPr>
        <w:t>万亩，其中：有效灌溉面积达3</w:t>
      </w:r>
      <w:r>
        <w:rPr>
          <w:rFonts w:hint="eastAsia" w:ascii="仿宋_GB2312" w:hAnsi="宋体" w:eastAsia="仿宋_GB2312"/>
          <w:color w:val="auto"/>
          <w:kern w:val="10"/>
          <w:sz w:val="32"/>
          <w:szCs w:val="32"/>
          <w:lang w:val="en-US" w:eastAsia="zh-CN"/>
        </w:rPr>
        <w:t>7</w:t>
      </w:r>
      <w:r>
        <w:rPr>
          <w:rFonts w:hint="eastAsia" w:ascii="仿宋_GB2312" w:hAnsi="宋体" w:eastAsia="仿宋_GB2312"/>
          <w:color w:val="auto"/>
          <w:kern w:val="10"/>
          <w:sz w:val="32"/>
          <w:szCs w:val="32"/>
        </w:rPr>
        <w:t>万亩。</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0"/>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三、工业和建筑业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0"/>
        <w:rPr>
          <w:rFonts w:hint="eastAsia" w:ascii="仿宋_GB2312" w:hAnsi="仿宋_GB2312" w:eastAsia="仿宋_GB2312" w:cs="仿宋_GB2312"/>
          <w:color w:val="auto"/>
          <w:kern w:val="10"/>
          <w:sz w:val="32"/>
          <w:szCs w:val="32"/>
          <w:highlight w:val="none"/>
          <w:lang w:val="zh-CN" w:eastAsia="zh-CN"/>
        </w:rPr>
      </w:pPr>
      <w:r>
        <w:rPr>
          <w:rFonts w:hint="eastAsia" w:ascii="仿宋_GB2312" w:hAnsi="仿宋_GB2312" w:eastAsia="仿宋_GB2312" w:cs="仿宋_GB2312"/>
          <w:color w:val="auto"/>
          <w:kern w:val="2"/>
          <w:sz w:val="32"/>
          <w:szCs w:val="32"/>
          <w:highlight w:val="none"/>
          <w:lang w:val="en-US" w:eastAsia="zh-CN" w:bidi="ar-SA"/>
        </w:rPr>
        <w:t>全年全县工业增加值8683万元，比上年减少3.3%。其中：地方规模以上工业增加值</w:t>
      </w:r>
      <w:r>
        <w:rPr>
          <w:rFonts w:hint="eastAsia" w:ascii="仿宋_GB2312" w:hAnsi="仿宋_GB2312" w:eastAsia="仿宋_GB2312" w:cs="仿宋_GB2312"/>
          <w:color w:val="auto"/>
          <w:kern w:val="2"/>
          <w:sz w:val="32"/>
          <w:szCs w:val="32"/>
          <w:highlight w:val="none"/>
          <w:lang w:val="zh-CN" w:eastAsia="zh-CN" w:bidi="ar-SA"/>
        </w:rPr>
        <w:t>增长</w:t>
      </w:r>
      <w:r>
        <w:rPr>
          <w:rFonts w:hint="eastAsia" w:ascii="仿宋_GB2312" w:hAnsi="仿宋_GB2312" w:eastAsia="仿宋_GB2312" w:cs="仿宋_GB2312"/>
          <w:color w:val="auto"/>
          <w:kern w:val="2"/>
          <w:sz w:val="32"/>
          <w:szCs w:val="32"/>
          <w:highlight w:val="none"/>
          <w:lang w:val="en-US" w:eastAsia="zh-CN" w:bidi="ar-SA"/>
        </w:rPr>
        <w:t>32.2</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sz w:val="32"/>
          <w:szCs w:val="32"/>
          <w:highlight w:val="none"/>
          <w:lang w:val="zh-CN"/>
        </w:rPr>
        <w:t>在规模以上工业中，分经济类型看，国有企业增长</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%，股份制企业增长</w:t>
      </w:r>
      <w:r>
        <w:rPr>
          <w:rFonts w:hint="eastAsia" w:ascii="仿宋_GB2312" w:hAnsi="仿宋_GB2312" w:eastAsia="仿宋_GB2312" w:cs="仿宋_GB2312"/>
          <w:color w:val="auto"/>
          <w:sz w:val="32"/>
          <w:szCs w:val="32"/>
          <w:highlight w:val="none"/>
          <w:lang w:val="en-US" w:eastAsia="zh-CN"/>
        </w:rPr>
        <w:t>42.9</w:t>
      </w:r>
      <w:r>
        <w:rPr>
          <w:rFonts w:hint="eastAsia" w:ascii="仿宋_GB2312" w:hAnsi="仿宋_GB2312" w:eastAsia="仿宋_GB2312" w:cs="仿宋_GB2312"/>
          <w:color w:val="auto"/>
          <w:sz w:val="32"/>
          <w:szCs w:val="32"/>
          <w:highlight w:val="none"/>
          <w:lang w:val="zh-CN"/>
        </w:rPr>
        <w:t>%。分轻重工业看，轻工业增长</w:t>
      </w:r>
      <w:r>
        <w:rPr>
          <w:rFonts w:hint="eastAsia" w:ascii="仿宋_GB2312" w:hAnsi="仿宋_GB2312" w:eastAsia="仿宋_GB2312" w:cs="仿宋_GB2312"/>
          <w:color w:val="auto"/>
          <w:sz w:val="32"/>
          <w:szCs w:val="32"/>
          <w:highlight w:val="none"/>
          <w:lang w:val="en-US" w:eastAsia="zh-CN"/>
        </w:rPr>
        <w:t>50.8</w:t>
      </w:r>
      <w:r>
        <w:rPr>
          <w:rFonts w:hint="eastAsia" w:ascii="仿宋_GB2312" w:hAnsi="仿宋_GB2312" w:eastAsia="仿宋_GB2312" w:cs="仿宋_GB2312"/>
          <w:color w:val="auto"/>
          <w:sz w:val="32"/>
          <w:szCs w:val="32"/>
          <w:highlight w:val="none"/>
          <w:lang w:val="zh-CN"/>
        </w:rPr>
        <w:t>%，重工业增长</w:t>
      </w:r>
      <w:r>
        <w:rPr>
          <w:rFonts w:hint="eastAsia" w:ascii="仿宋_GB2312" w:hAnsi="仿宋_GB2312" w:eastAsia="仿宋_GB2312" w:cs="仿宋_GB2312"/>
          <w:color w:val="auto"/>
          <w:sz w:val="32"/>
          <w:szCs w:val="32"/>
          <w:highlight w:val="none"/>
          <w:lang w:val="en-US" w:eastAsia="zh-CN"/>
        </w:rPr>
        <w:t>22.4</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kern w:val="2"/>
          <w:sz w:val="32"/>
          <w:szCs w:val="32"/>
          <w:highlight w:val="none"/>
          <w:lang w:val="en-US" w:eastAsia="zh-CN" w:bidi="ar-SA"/>
        </w:rPr>
        <w:t>地方规模以上工业总产值15811万元，比上年增长36.7%。</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0"/>
          <w:sz w:val="32"/>
          <w:szCs w:val="32"/>
          <w:lang w:val="zh-CN" w:eastAsia="zh-CN"/>
        </w:rPr>
      </w:pPr>
      <w:r>
        <w:rPr>
          <w:color w:val="auto"/>
        </w:rPr>
        <w:drawing>
          <wp:anchor distT="0" distB="0" distL="114300" distR="114300" simplePos="0" relativeHeight="251663360" behindDoc="0" locked="0" layoutInCell="1" allowOverlap="1">
            <wp:simplePos x="0" y="0"/>
            <wp:positionH relativeFrom="column">
              <wp:posOffset>677545</wp:posOffset>
            </wp:positionH>
            <wp:positionV relativeFrom="paragraph">
              <wp:posOffset>513715</wp:posOffset>
            </wp:positionV>
            <wp:extent cx="4231640" cy="2406650"/>
            <wp:effectExtent l="5080" t="4445" r="11430" b="825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354965</wp:posOffset>
                </wp:positionV>
                <wp:extent cx="584200" cy="304165"/>
                <wp:effectExtent l="0" t="0" r="6350" b="635"/>
                <wp:wrapNone/>
                <wp:docPr id="10" name="文本框 9"/>
                <wp:cNvGraphicFramePr/>
                <a:graphic xmlns:a="http://schemas.openxmlformats.org/drawingml/2006/main">
                  <a:graphicData uri="http://schemas.microsoft.com/office/word/2010/wordprocessingShape">
                    <wps:wsp>
                      <wps:cNvSpPr txBox="1"/>
                      <wps:spPr>
                        <a:xfrm>
                          <a:off x="0" y="0"/>
                          <a:ext cx="584200" cy="30416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9"/>
                              <w:kinsoku/>
                              <w:ind w:left="0"/>
                              <w:jc w:val="left"/>
                              <w:rPr>
                                <w:color w:val="1E1C11" w:themeColor="background2" w:themeShade="1A"/>
                                <w:sz w:val="16"/>
                                <w:szCs w:val="16"/>
                              </w:rPr>
                            </w:pPr>
                          </w:p>
                        </w:txbxContent>
                      </wps:txbx>
                      <wps:bodyPr vertOverflow="clip" horzOverflow="clip" wrap="square" rtlCol="0" anchor="t">
                        <a:noAutofit/>
                      </wps:bodyPr>
                    </wps:wsp>
                  </a:graphicData>
                </a:graphic>
              </wp:anchor>
            </w:drawing>
          </mc:Choice>
          <mc:Fallback>
            <w:pict>
              <v:shape id="文本框 9" o:spid="_x0000_s1026" o:spt="202" type="#_x0000_t202" style="position:absolute;left:0pt;margin-left:0pt;margin-top:27.95pt;height:23.95pt;width:46pt;z-index:251660288;mso-width-relative:page;mso-height-relative:page;" fillcolor="#FFFFFF [3201]" filled="t" stroked="f" coordsize="21600,21600" o:gfxdata="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HJR9QAAAAGAQAADwAAAAAAAAABACAAAAAiAAAAZHJzL2Rvd25yZXYueG1sUEsB&#10;AhQAFAAAAAgAh07iQAXwK4H5AQAA5QMAAA4AAAAAAAAAAQAgAAAAIwEAAGRycy9lMm9Eb2MueG1s&#10;UEsFBgAAAAAGAAYAWQEAAI4FAAAAAA==&#10;">
                <v:fill on="t" focussize="0,0"/>
                <v:stroke on="f"/>
                <v:imagedata o:title=""/>
                <o:lock v:ext="edit" aspectratio="f"/>
                <v:textbox>
                  <w:txbxContent>
                    <w:p>
                      <w:pPr>
                        <w:pStyle w:val="9"/>
                        <w:kinsoku/>
                        <w:ind w:left="0"/>
                        <w:jc w:val="left"/>
                        <w:rPr>
                          <w:color w:val="1E1C11" w:themeColor="background2" w:themeShade="1A"/>
                          <w:sz w:val="16"/>
                          <w:szCs w:val="16"/>
                        </w:rPr>
                      </w:pPr>
                    </w:p>
                  </w:txbxContent>
                </v:textbox>
              </v:shape>
            </w:pict>
          </mc:Fallback>
        </mc:AlternateContent>
      </w:r>
      <w:r>
        <w:rPr>
          <w:rFonts w:hint="eastAsia" w:ascii="宋体" w:hAnsi="宋体" w:eastAsia="宋体" w:cs="宋体"/>
          <w:b/>
          <w:bCs/>
          <w:color w:val="auto"/>
          <w:kern w:val="10"/>
          <w:sz w:val="21"/>
          <w:szCs w:val="21"/>
          <w:lang w:val="en-US" w:eastAsia="zh-CN" w:bidi="ar-SA"/>
        </w:rPr>
        <w:t>图</w:t>
      </w:r>
      <w:r>
        <w:rPr>
          <w:rFonts w:hint="eastAsia" w:ascii="宋体" w:hAnsi="宋体"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 xml:space="preserve">  201</w:t>
      </w:r>
      <w:r>
        <w:rPr>
          <w:rFonts w:hint="eastAsia" w:ascii="宋体" w:hAnsi="宋体" w:cs="宋体"/>
          <w:b/>
          <w:bCs/>
          <w:color w:val="auto"/>
          <w:kern w:val="10"/>
          <w:sz w:val="21"/>
          <w:szCs w:val="21"/>
          <w:lang w:val="en-US" w:eastAsia="zh-CN" w:bidi="ar-SA"/>
        </w:rPr>
        <w:t>9—</w:t>
      </w:r>
      <w:r>
        <w:rPr>
          <w:rFonts w:hint="eastAsia" w:ascii="宋体" w:hAnsi="宋体" w:eastAsia="宋体" w:cs="宋体"/>
          <w:b/>
          <w:bCs/>
          <w:color w:val="auto"/>
          <w:kern w:val="10"/>
          <w:sz w:val="21"/>
          <w:szCs w:val="21"/>
          <w:lang w:val="en-US" w:eastAsia="zh-CN" w:bidi="ar-SA"/>
        </w:rPr>
        <w:t>202</w:t>
      </w:r>
      <w:r>
        <w:rPr>
          <w:rFonts w:hint="eastAsia" w:ascii="宋体" w:hAnsi="宋体"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年全部工业增加值及其增长速度</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10"/>
          <w:sz w:val="32"/>
          <w:szCs w:val="32"/>
          <w:highlight w:val="none"/>
          <w:lang w:val="zh-CN"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10"/>
          <w:sz w:val="32"/>
          <w:szCs w:val="32"/>
          <w:highlight w:val="none"/>
          <w:lang w:val="zh-CN" w:eastAsia="zh-CN"/>
        </w:rPr>
      </w:pPr>
      <w:r>
        <w:rPr>
          <w:rFonts w:hint="eastAsia" w:ascii="仿宋_GB2312" w:hAnsi="仿宋_GB2312" w:eastAsia="仿宋_GB2312" w:cs="仿宋_GB2312"/>
          <w:color w:val="auto"/>
          <w:kern w:val="10"/>
          <w:sz w:val="32"/>
          <w:szCs w:val="32"/>
          <w:highlight w:val="none"/>
          <w:lang w:val="zh-CN" w:eastAsia="zh-CN"/>
        </w:rPr>
        <w:t>全年全县建筑业增加值</w:t>
      </w:r>
      <w:r>
        <w:rPr>
          <w:rFonts w:hint="eastAsia" w:ascii="仿宋_GB2312" w:hAnsi="仿宋_GB2312" w:eastAsia="仿宋_GB2312" w:cs="仿宋_GB2312"/>
          <w:color w:val="auto"/>
          <w:kern w:val="10"/>
          <w:sz w:val="32"/>
          <w:szCs w:val="32"/>
          <w:highlight w:val="none"/>
          <w:lang w:val="en-US" w:eastAsia="zh-CN"/>
        </w:rPr>
        <w:t>17781万</w:t>
      </w:r>
      <w:r>
        <w:rPr>
          <w:rFonts w:hint="eastAsia" w:ascii="仿宋_GB2312" w:hAnsi="仿宋_GB2312" w:eastAsia="仿宋_GB2312" w:cs="仿宋_GB2312"/>
          <w:color w:val="auto"/>
          <w:kern w:val="10"/>
          <w:sz w:val="32"/>
          <w:szCs w:val="32"/>
          <w:highlight w:val="none"/>
          <w:lang w:val="zh-CN" w:eastAsia="zh-CN"/>
        </w:rPr>
        <w:t>元，比上年减少</w:t>
      </w:r>
      <w:r>
        <w:rPr>
          <w:rFonts w:hint="eastAsia" w:ascii="仿宋_GB2312" w:hAnsi="仿宋_GB2312" w:eastAsia="仿宋_GB2312" w:cs="仿宋_GB2312"/>
          <w:color w:val="auto"/>
          <w:kern w:val="10"/>
          <w:sz w:val="32"/>
          <w:szCs w:val="32"/>
          <w:highlight w:val="none"/>
          <w:lang w:val="en-US" w:eastAsia="zh-CN"/>
        </w:rPr>
        <w:t>19.8</w:t>
      </w:r>
      <w:r>
        <w:rPr>
          <w:rFonts w:hint="eastAsia" w:ascii="仿宋_GB2312" w:hAnsi="仿宋_GB2312" w:eastAsia="仿宋_GB2312" w:cs="仿宋_GB2312"/>
          <w:color w:val="auto"/>
          <w:kern w:val="10"/>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bidi="ar-SA"/>
        </w:rPr>
        <w:t>地方</w:t>
      </w:r>
      <w:r>
        <w:rPr>
          <w:rFonts w:hint="eastAsia" w:ascii="仿宋_GB2312" w:hAnsi="仿宋_GB2312" w:eastAsia="仿宋_GB2312" w:cs="仿宋_GB2312"/>
          <w:color w:val="auto"/>
          <w:kern w:val="10"/>
          <w:sz w:val="32"/>
          <w:szCs w:val="32"/>
          <w:highlight w:val="none"/>
          <w:lang w:val="zh-CN" w:eastAsia="zh-CN"/>
        </w:rPr>
        <w:t>具有资质等级的总承包和专业承包建筑业企业总产值</w:t>
      </w:r>
      <w:r>
        <w:rPr>
          <w:rFonts w:hint="eastAsia" w:ascii="仿宋_GB2312" w:hAnsi="仿宋_GB2312" w:eastAsia="仿宋_GB2312" w:cs="仿宋_GB2312"/>
          <w:color w:val="auto"/>
          <w:kern w:val="10"/>
          <w:sz w:val="32"/>
          <w:szCs w:val="32"/>
          <w:highlight w:val="none"/>
          <w:lang w:val="en-US" w:eastAsia="zh-CN"/>
        </w:rPr>
        <w:t>3640.9</w:t>
      </w:r>
      <w:r>
        <w:rPr>
          <w:rFonts w:hint="eastAsia" w:ascii="仿宋_GB2312" w:hAnsi="仿宋_GB2312" w:eastAsia="仿宋_GB2312" w:cs="仿宋_GB2312"/>
          <w:color w:val="auto"/>
          <w:kern w:val="10"/>
          <w:sz w:val="32"/>
          <w:szCs w:val="32"/>
          <w:highlight w:val="none"/>
          <w:lang w:val="zh-CN" w:eastAsia="zh-CN"/>
        </w:rPr>
        <w:t>万元，下降</w:t>
      </w:r>
      <w:r>
        <w:rPr>
          <w:rFonts w:hint="eastAsia" w:ascii="仿宋_GB2312" w:hAnsi="仿宋_GB2312" w:eastAsia="仿宋_GB2312" w:cs="仿宋_GB2312"/>
          <w:color w:val="auto"/>
          <w:kern w:val="10"/>
          <w:sz w:val="32"/>
          <w:szCs w:val="32"/>
          <w:highlight w:val="none"/>
          <w:lang w:val="en-US" w:eastAsia="zh-CN"/>
        </w:rPr>
        <w:t>99.38</w:t>
      </w:r>
      <w:r>
        <w:rPr>
          <w:rFonts w:hint="eastAsia" w:ascii="仿宋_GB2312" w:hAnsi="仿宋_GB2312" w:eastAsia="仿宋_GB2312" w:cs="仿宋_GB2312"/>
          <w:color w:val="auto"/>
          <w:kern w:val="10"/>
          <w:sz w:val="32"/>
          <w:szCs w:val="32"/>
          <w:highlight w:val="none"/>
          <w:lang w:val="zh-CN" w:eastAsia="zh-CN"/>
        </w:rPr>
        <w:t>%。</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b/>
          <w:bCs/>
          <w:color w:val="auto"/>
          <w:kern w:val="10"/>
          <w:sz w:val="21"/>
          <w:szCs w:val="21"/>
          <w:lang w:val="en-US" w:eastAsia="zh-CN" w:bidi="ar-SA"/>
        </w:rPr>
      </w:pP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color w:val="auto"/>
        </w:rPr>
      </w:pPr>
      <w:r>
        <w:rPr>
          <w:rFonts w:hint="eastAsia" w:ascii="宋体" w:hAnsi="宋体" w:eastAsia="宋体" w:cs="宋体"/>
          <w:b/>
          <w:bCs/>
          <w:color w:val="auto"/>
          <w:kern w:val="10"/>
          <w:sz w:val="21"/>
          <w:szCs w:val="21"/>
          <w:lang w:val="en-US" w:eastAsia="zh-CN" w:bidi="ar-SA"/>
        </w:rPr>
        <w:t>图</w:t>
      </w:r>
      <w:r>
        <w:rPr>
          <w:rFonts w:hint="eastAsia" w:cs="宋体"/>
          <w:b/>
          <w:bCs/>
          <w:color w:val="auto"/>
          <w:kern w:val="10"/>
          <w:sz w:val="21"/>
          <w:szCs w:val="21"/>
          <w:lang w:val="en-US" w:eastAsia="zh-CN" w:bidi="ar-SA"/>
        </w:rPr>
        <w:t>4</w:t>
      </w:r>
      <w:r>
        <w:rPr>
          <w:rFonts w:hint="eastAsia" w:ascii="宋体" w:hAnsi="宋体" w:eastAsia="宋体" w:cs="宋体"/>
          <w:b/>
          <w:bCs/>
          <w:color w:val="auto"/>
          <w:kern w:val="10"/>
          <w:sz w:val="21"/>
          <w:szCs w:val="21"/>
          <w:lang w:val="en-US" w:eastAsia="zh-CN" w:bidi="ar-SA"/>
        </w:rPr>
        <w:t xml:space="preserve">  201</w:t>
      </w:r>
      <w:r>
        <w:rPr>
          <w:rFonts w:hint="eastAsia" w:cs="宋体"/>
          <w:b/>
          <w:bCs/>
          <w:color w:val="auto"/>
          <w:kern w:val="10"/>
          <w:sz w:val="21"/>
          <w:szCs w:val="21"/>
          <w:lang w:val="en-US" w:eastAsia="zh-CN" w:bidi="ar-SA"/>
        </w:rPr>
        <w:t>9—</w:t>
      </w:r>
      <w:r>
        <w:rPr>
          <w:rFonts w:hint="eastAsia" w:ascii="宋体" w:hAnsi="宋体" w:eastAsia="宋体" w:cs="宋体"/>
          <w:b/>
          <w:bCs/>
          <w:color w:val="auto"/>
          <w:kern w:val="10"/>
          <w:sz w:val="21"/>
          <w:szCs w:val="21"/>
          <w:lang w:val="en-US" w:eastAsia="zh-CN" w:bidi="ar-SA"/>
        </w:rPr>
        <w:t>202</w:t>
      </w:r>
      <w:r>
        <w:rPr>
          <w:rFonts w:hint="eastAsia"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年建筑业增加值及其增长速度</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720" w:firstLineChars="300"/>
        <w:jc w:val="both"/>
        <w:textAlignment w:val="auto"/>
        <w:rPr>
          <w:rFonts w:hint="eastAsia" w:ascii="黑体" w:hAnsi="黑体" w:eastAsia="黑体" w:cs="黑体"/>
          <w:color w:val="auto"/>
          <w:kern w:val="10"/>
          <w:sz w:val="32"/>
          <w:szCs w:val="32"/>
          <w:lang w:val="en-US" w:eastAsia="zh-CN" w:bidi="ar-SA"/>
        </w:rPr>
      </w:pPr>
      <w:r>
        <w:rPr>
          <w:color w:val="auto"/>
        </w:rPr>
        <w:drawing>
          <wp:anchor distT="0" distB="0" distL="114300" distR="114300" simplePos="0" relativeHeight="251661312" behindDoc="0" locked="0" layoutInCell="1" allowOverlap="1">
            <wp:simplePos x="0" y="0"/>
            <wp:positionH relativeFrom="column">
              <wp:posOffset>690880</wp:posOffset>
            </wp:positionH>
            <wp:positionV relativeFrom="paragraph">
              <wp:posOffset>263525</wp:posOffset>
            </wp:positionV>
            <wp:extent cx="4243070" cy="2296795"/>
            <wp:effectExtent l="5080" t="4445" r="19050" b="2286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四、服务业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全年批发和零售业增加值</w:t>
      </w:r>
      <w:r>
        <w:rPr>
          <w:rFonts w:hint="eastAsia" w:ascii="仿宋_GB2312" w:hAnsi="仿宋_GB2312" w:eastAsia="仿宋_GB2312" w:cs="仿宋_GB2312"/>
          <w:color w:val="auto"/>
          <w:sz w:val="32"/>
          <w:szCs w:val="32"/>
          <w:highlight w:val="none"/>
          <w:lang w:val="en-US" w:eastAsia="zh-CN"/>
        </w:rPr>
        <w:t>5325</w:t>
      </w:r>
      <w:r>
        <w:rPr>
          <w:rFonts w:hint="eastAsia" w:ascii="仿宋_GB2312" w:hAnsi="仿宋_GB2312" w:eastAsia="仿宋_GB2312" w:cs="仿宋_GB2312"/>
          <w:color w:val="auto"/>
          <w:sz w:val="32"/>
          <w:szCs w:val="32"/>
          <w:highlight w:val="none"/>
          <w:lang w:eastAsia="zh-CN"/>
        </w:rPr>
        <w:t>万元，比上年减少</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lang w:eastAsia="zh-CN"/>
        </w:rPr>
        <w:t>%；交通运输、仓储和邮政业增加值</w:t>
      </w:r>
      <w:r>
        <w:rPr>
          <w:rFonts w:hint="eastAsia" w:ascii="仿宋_GB2312" w:hAnsi="仿宋_GB2312" w:eastAsia="仿宋_GB2312" w:cs="仿宋_GB2312"/>
          <w:color w:val="auto"/>
          <w:sz w:val="32"/>
          <w:szCs w:val="32"/>
          <w:highlight w:val="none"/>
          <w:lang w:val="en-US" w:eastAsia="zh-CN"/>
        </w:rPr>
        <w:t>2593</w:t>
      </w:r>
      <w:r>
        <w:rPr>
          <w:rFonts w:hint="eastAsia" w:ascii="仿宋_GB2312" w:hAnsi="仿宋_GB2312" w:eastAsia="仿宋_GB2312" w:cs="仿宋_GB2312"/>
          <w:color w:val="auto"/>
          <w:sz w:val="32"/>
          <w:szCs w:val="32"/>
          <w:highlight w:val="none"/>
          <w:lang w:eastAsia="zh-CN"/>
        </w:rPr>
        <w:t>万元，比上年增长</w:t>
      </w:r>
      <w:r>
        <w:rPr>
          <w:rFonts w:hint="eastAsia" w:ascii="仿宋_GB2312" w:hAnsi="仿宋_GB2312" w:eastAsia="仿宋_GB2312" w:cs="仿宋_GB2312"/>
          <w:color w:val="auto"/>
          <w:sz w:val="32"/>
          <w:szCs w:val="32"/>
          <w:highlight w:val="none"/>
          <w:lang w:val="en-US" w:eastAsia="zh-CN"/>
        </w:rPr>
        <w:t>19.5</w:t>
      </w:r>
      <w:r>
        <w:rPr>
          <w:rFonts w:hint="eastAsia" w:ascii="仿宋_GB2312" w:hAnsi="仿宋_GB2312" w:eastAsia="仿宋_GB2312" w:cs="仿宋_GB2312"/>
          <w:color w:val="auto"/>
          <w:sz w:val="32"/>
          <w:szCs w:val="32"/>
          <w:highlight w:val="none"/>
          <w:lang w:eastAsia="zh-CN"/>
        </w:rPr>
        <w:t>%；住宿和餐饮业增加值</w:t>
      </w:r>
      <w:r>
        <w:rPr>
          <w:rFonts w:hint="eastAsia" w:ascii="仿宋_GB2312" w:hAnsi="仿宋_GB2312" w:eastAsia="仿宋_GB2312" w:cs="仿宋_GB2312"/>
          <w:color w:val="auto"/>
          <w:sz w:val="32"/>
          <w:szCs w:val="32"/>
          <w:highlight w:val="none"/>
          <w:lang w:val="en-US" w:eastAsia="zh-CN"/>
        </w:rPr>
        <w:t>3400</w:t>
      </w:r>
      <w:r>
        <w:rPr>
          <w:rFonts w:hint="eastAsia" w:ascii="仿宋_GB2312" w:hAnsi="仿宋_GB2312" w:eastAsia="仿宋_GB2312" w:cs="仿宋_GB2312"/>
          <w:color w:val="auto"/>
          <w:sz w:val="32"/>
          <w:szCs w:val="32"/>
          <w:highlight w:val="none"/>
          <w:lang w:eastAsia="zh-CN"/>
        </w:rPr>
        <w:t>万元，比上年增长</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lang w:eastAsia="zh-CN"/>
        </w:rPr>
        <w:t>%；金融业增加值</w:t>
      </w:r>
      <w:r>
        <w:rPr>
          <w:rFonts w:hint="eastAsia" w:ascii="仿宋_GB2312" w:hAnsi="仿宋_GB2312" w:eastAsia="仿宋_GB2312" w:cs="仿宋_GB2312"/>
          <w:color w:val="auto"/>
          <w:sz w:val="32"/>
          <w:szCs w:val="32"/>
          <w:highlight w:val="none"/>
          <w:lang w:val="en-US" w:eastAsia="zh-CN"/>
        </w:rPr>
        <w:t>19132</w:t>
      </w:r>
      <w:r>
        <w:rPr>
          <w:rFonts w:hint="eastAsia" w:ascii="仿宋_GB2312" w:hAnsi="仿宋_GB2312" w:eastAsia="仿宋_GB2312" w:cs="仿宋_GB2312"/>
          <w:color w:val="auto"/>
          <w:sz w:val="32"/>
          <w:szCs w:val="32"/>
          <w:highlight w:val="none"/>
          <w:lang w:eastAsia="zh-CN"/>
        </w:rPr>
        <w:t>万元，比上年增长</w:t>
      </w:r>
      <w:r>
        <w:rPr>
          <w:rFonts w:hint="eastAsia" w:ascii="仿宋_GB2312" w:hAnsi="仿宋_GB2312" w:eastAsia="仿宋_GB2312" w:cs="仿宋_GB2312"/>
          <w:color w:val="auto"/>
          <w:sz w:val="32"/>
          <w:szCs w:val="32"/>
          <w:highlight w:val="none"/>
          <w:lang w:val="en-US" w:eastAsia="zh-CN"/>
        </w:rPr>
        <w:t>14.9</w:t>
      </w:r>
      <w:r>
        <w:rPr>
          <w:rFonts w:hint="eastAsia" w:ascii="仿宋_GB2312" w:hAnsi="仿宋_GB2312" w:eastAsia="仿宋_GB2312" w:cs="仿宋_GB2312"/>
          <w:color w:val="auto"/>
          <w:sz w:val="32"/>
          <w:szCs w:val="32"/>
          <w:highlight w:val="none"/>
          <w:lang w:eastAsia="zh-CN"/>
        </w:rPr>
        <w:t>%；房地产业增加值</w:t>
      </w:r>
      <w:r>
        <w:rPr>
          <w:rFonts w:hint="eastAsia" w:ascii="仿宋_GB2312" w:hAnsi="仿宋_GB2312" w:eastAsia="仿宋_GB2312" w:cs="仿宋_GB2312"/>
          <w:color w:val="auto"/>
          <w:sz w:val="32"/>
          <w:szCs w:val="32"/>
          <w:highlight w:val="none"/>
          <w:lang w:val="en-US" w:eastAsia="zh-CN"/>
        </w:rPr>
        <w:t>4777万元，比上年增长1.8%；</w:t>
      </w:r>
      <w:r>
        <w:rPr>
          <w:rFonts w:hint="eastAsia" w:ascii="仿宋_GB2312" w:hAnsi="仿宋_GB2312" w:eastAsia="仿宋_GB2312" w:cs="仿宋_GB2312"/>
          <w:color w:val="auto"/>
          <w:sz w:val="32"/>
          <w:szCs w:val="32"/>
          <w:highlight w:val="none"/>
          <w:lang w:eastAsia="zh-CN"/>
        </w:rPr>
        <w:t>其他服务业增加值</w:t>
      </w:r>
      <w:r>
        <w:rPr>
          <w:rFonts w:hint="eastAsia" w:ascii="仿宋_GB2312" w:hAnsi="仿宋_GB2312" w:eastAsia="仿宋_GB2312" w:cs="仿宋_GB2312"/>
          <w:color w:val="auto"/>
          <w:sz w:val="32"/>
          <w:szCs w:val="32"/>
          <w:highlight w:val="none"/>
          <w:lang w:val="en-US" w:eastAsia="zh-CN"/>
        </w:rPr>
        <w:t>79762万</w:t>
      </w:r>
      <w:r>
        <w:rPr>
          <w:rFonts w:hint="eastAsia" w:ascii="仿宋_GB2312" w:hAnsi="仿宋_GB2312" w:eastAsia="仿宋_GB2312" w:cs="仿宋_GB2312"/>
          <w:color w:val="auto"/>
          <w:sz w:val="32"/>
          <w:szCs w:val="32"/>
          <w:highlight w:val="none"/>
          <w:lang w:eastAsia="zh-CN"/>
        </w:rPr>
        <w:t>元，比上年增长</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color w:val="auto"/>
          <w:kern w:val="10"/>
          <w:sz w:val="21"/>
          <w:szCs w:val="21"/>
          <w:highlight w:val="none"/>
          <w:lang w:val="en-US" w:eastAsia="zh-CN" w:bidi="ar-SA"/>
        </w:rPr>
      </w:pPr>
      <w:r>
        <w:rPr>
          <w:rFonts w:hint="eastAsia" w:ascii="宋体" w:hAnsi="宋体" w:eastAsia="宋体" w:cs="宋体"/>
          <w:b/>
          <w:bCs/>
          <w:color w:val="auto"/>
          <w:kern w:val="10"/>
          <w:sz w:val="21"/>
          <w:szCs w:val="21"/>
          <w:highlight w:val="none"/>
          <w:lang w:val="en-US" w:eastAsia="zh-CN" w:bidi="ar-SA"/>
        </w:rPr>
        <w:t>图5  2018</w:t>
      </w:r>
      <w:r>
        <w:rPr>
          <w:rFonts w:hint="eastAsia" w:ascii="宋体" w:hAnsi="宋体" w:cs="宋体"/>
          <w:b/>
          <w:bCs/>
          <w:color w:val="auto"/>
          <w:kern w:val="10"/>
          <w:sz w:val="21"/>
          <w:szCs w:val="21"/>
          <w:highlight w:val="none"/>
          <w:lang w:val="en-US" w:eastAsia="zh-CN" w:bidi="ar-SA"/>
        </w:rPr>
        <w:t>—2022年</w:t>
      </w:r>
      <w:r>
        <w:rPr>
          <w:rFonts w:hint="eastAsia" w:ascii="宋体" w:hAnsi="宋体" w:eastAsia="宋体" w:cs="宋体"/>
          <w:b/>
          <w:bCs/>
          <w:color w:val="auto"/>
          <w:kern w:val="10"/>
          <w:sz w:val="21"/>
          <w:szCs w:val="21"/>
          <w:highlight w:val="none"/>
          <w:lang w:val="en-US" w:eastAsia="zh-CN" w:bidi="ar-SA"/>
        </w:rPr>
        <w:t>第三产业增加值及其增长速度</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420" w:firstLineChars="200"/>
        <w:textAlignment w:val="auto"/>
        <w:rPr>
          <w:rFonts w:hint="eastAsia" w:ascii="仿宋_GB2312" w:hAnsi="仿宋_GB2312" w:eastAsia="仿宋_GB2312" w:cs="仿宋_GB2312"/>
          <w:color w:val="auto"/>
          <w:sz w:val="32"/>
          <w:szCs w:val="32"/>
          <w:highlight w:val="none"/>
          <w:lang w:eastAsia="zh-CN"/>
        </w:rPr>
      </w:pPr>
      <w:r>
        <w:rPr>
          <w:color w:val="auto"/>
          <w:highlight w:val="none"/>
        </w:rPr>
        <w:drawing>
          <wp:anchor distT="0" distB="0" distL="114300" distR="114300" simplePos="0" relativeHeight="251662336" behindDoc="0" locked="0" layoutInCell="1" allowOverlap="1">
            <wp:simplePos x="0" y="0"/>
            <wp:positionH relativeFrom="column">
              <wp:posOffset>713105</wp:posOffset>
            </wp:positionH>
            <wp:positionV relativeFrom="paragraph">
              <wp:posOffset>151130</wp:posOffset>
            </wp:positionV>
            <wp:extent cx="4274820" cy="2569845"/>
            <wp:effectExtent l="4445" t="4445" r="6985" b="1651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全年完成电信业</w:t>
      </w:r>
      <w:r>
        <w:rPr>
          <w:rFonts w:hint="eastAsia" w:ascii="仿宋_GB2312" w:hAnsi="仿宋_GB2312" w:eastAsia="仿宋_GB2312" w:cs="仿宋_GB2312"/>
          <w:color w:val="auto"/>
          <w:sz w:val="32"/>
          <w:szCs w:val="32"/>
          <w:highlight w:val="none"/>
        </w:rPr>
        <w:t>务收入</w:t>
      </w:r>
      <w:r>
        <w:rPr>
          <w:rFonts w:hint="eastAsia" w:ascii="仿宋_GB2312" w:hAnsi="仿宋_GB2312" w:eastAsia="仿宋_GB2312" w:cs="仿宋_GB2312"/>
          <w:color w:val="auto"/>
          <w:sz w:val="32"/>
          <w:szCs w:val="32"/>
          <w:highlight w:val="none"/>
          <w:lang w:val="en-US" w:eastAsia="zh-CN"/>
        </w:rPr>
        <w:t>5818.5</w:t>
      </w:r>
      <w:r>
        <w:rPr>
          <w:rFonts w:hint="eastAsia" w:ascii="仿宋_GB2312" w:hAnsi="仿宋_GB2312" w:eastAsia="仿宋_GB2312" w:cs="仿宋_GB2312"/>
          <w:color w:val="auto"/>
          <w:sz w:val="32"/>
          <w:szCs w:val="32"/>
          <w:highlight w:val="none"/>
          <w:lang w:eastAsia="zh-CN"/>
        </w:rPr>
        <w:t>万</w:t>
      </w:r>
      <w:r>
        <w:rPr>
          <w:rFonts w:hint="eastAsia" w:ascii="仿宋_GB2312" w:hAnsi="仿宋_GB2312" w:eastAsia="仿宋_GB2312" w:cs="仿宋_GB2312"/>
          <w:color w:val="auto"/>
          <w:sz w:val="32"/>
          <w:szCs w:val="32"/>
          <w:highlight w:val="none"/>
        </w:rPr>
        <w:t>元，比</w:t>
      </w:r>
      <w:r>
        <w:rPr>
          <w:rFonts w:hint="eastAsia" w:ascii="仿宋_GB2312" w:hAnsi="仿宋_GB2312" w:eastAsia="仿宋_GB2312" w:cs="仿宋_GB2312"/>
          <w:color w:val="auto"/>
          <w:sz w:val="32"/>
          <w:szCs w:val="32"/>
          <w:highlight w:val="none"/>
          <w:lang w:eastAsia="zh-CN"/>
        </w:rPr>
        <w:t>上年增长</w:t>
      </w:r>
      <w:r>
        <w:rPr>
          <w:rFonts w:hint="eastAsia" w:ascii="仿宋_GB2312" w:hAnsi="仿宋_GB2312" w:eastAsia="仿宋_GB2312" w:cs="仿宋_GB2312"/>
          <w:color w:val="auto"/>
          <w:sz w:val="32"/>
          <w:szCs w:val="32"/>
          <w:highlight w:val="none"/>
          <w:lang w:val="en-US" w:eastAsia="zh-CN"/>
        </w:rPr>
        <w:t>6.49</w:t>
      </w:r>
      <w:r>
        <w:rPr>
          <w:rFonts w:hint="eastAsia" w:ascii="仿宋_GB2312" w:hAnsi="仿宋_GB2312" w:eastAsia="仿宋_GB2312" w:cs="仿宋_GB2312"/>
          <w:color w:val="auto"/>
          <w:sz w:val="32"/>
          <w:szCs w:val="32"/>
          <w:highlight w:val="none"/>
          <w:lang w:eastAsia="zh-CN"/>
        </w:rPr>
        <w:t>%。年末地方固定电话用户</w:t>
      </w:r>
      <w:r>
        <w:rPr>
          <w:rFonts w:hint="eastAsia" w:ascii="仿宋_GB2312" w:hAnsi="仿宋_GB2312" w:eastAsia="仿宋_GB2312" w:cs="仿宋_GB2312"/>
          <w:color w:val="auto"/>
          <w:sz w:val="32"/>
          <w:szCs w:val="32"/>
          <w:highlight w:val="none"/>
          <w:lang w:val="en-US" w:eastAsia="zh-CN"/>
        </w:rPr>
        <w:t>1.49万</w:t>
      </w:r>
      <w:r>
        <w:rPr>
          <w:rFonts w:hint="eastAsia" w:ascii="仿宋_GB2312" w:hAnsi="仿宋_GB2312" w:eastAsia="仿宋_GB2312" w:cs="仿宋_GB2312"/>
          <w:color w:val="auto"/>
          <w:sz w:val="32"/>
          <w:szCs w:val="32"/>
          <w:highlight w:val="none"/>
          <w:lang w:eastAsia="zh-CN"/>
        </w:rPr>
        <w:t>户，移动电话用户</w:t>
      </w:r>
      <w:r>
        <w:rPr>
          <w:rFonts w:hint="eastAsia" w:ascii="仿宋_GB2312" w:hAnsi="仿宋_GB2312" w:eastAsia="仿宋_GB2312" w:cs="仿宋_GB2312"/>
          <w:color w:val="auto"/>
          <w:sz w:val="32"/>
          <w:szCs w:val="32"/>
          <w:highlight w:val="none"/>
          <w:lang w:val="en-US" w:eastAsia="zh-CN"/>
        </w:rPr>
        <w:t>6.73万</w:t>
      </w:r>
      <w:r>
        <w:rPr>
          <w:rFonts w:hint="eastAsia" w:ascii="仿宋_GB2312" w:hAnsi="仿宋_GB2312" w:eastAsia="仿宋_GB2312" w:cs="仿宋_GB2312"/>
          <w:color w:val="auto"/>
          <w:sz w:val="32"/>
          <w:szCs w:val="32"/>
          <w:highlight w:val="none"/>
          <w:lang w:eastAsia="zh-CN"/>
        </w:rPr>
        <w:t>户，固定互联网宽带接入用户</w:t>
      </w:r>
      <w:r>
        <w:rPr>
          <w:rFonts w:hint="eastAsia" w:ascii="仿宋_GB2312" w:hAnsi="仿宋_GB2312" w:eastAsia="仿宋_GB2312" w:cs="仿宋_GB2312"/>
          <w:color w:val="auto"/>
          <w:sz w:val="32"/>
          <w:szCs w:val="32"/>
          <w:highlight w:val="none"/>
          <w:lang w:val="en-US" w:eastAsia="zh-CN"/>
        </w:rPr>
        <w:t>3.84万</w:t>
      </w:r>
      <w:r>
        <w:rPr>
          <w:rFonts w:hint="eastAsia" w:ascii="仿宋_GB2312" w:hAnsi="仿宋_GB2312" w:eastAsia="仿宋_GB2312" w:cs="仿宋_GB2312"/>
          <w:color w:val="auto"/>
          <w:sz w:val="32"/>
          <w:szCs w:val="32"/>
          <w:highlight w:val="none"/>
          <w:lang w:eastAsia="zh-CN"/>
        </w:rPr>
        <w:t>户。</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年末全县公路通达里程</w:t>
      </w:r>
      <w:r>
        <w:rPr>
          <w:rFonts w:hint="eastAsia" w:ascii="仿宋_GB2312" w:hAnsi="仿宋_GB2312" w:eastAsia="仿宋_GB2312" w:cs="仿宋_GB2312"/>
          <w:color w:val="auto"/>
          <w:sz w:val="32"/>
          <w:szCs w:val="32"/>
          <w:highlight w:val="none"/>
          <w:lang w:val="en-US" w:eastAsia="zh-CN"/>
        </w:rPr>
        <w:t>1051.939</w:t>
      </w:r>
      <w:r>
        <w:rPr>
          <w:rFonts w:hint="eastAsia" w:ascii="仿宋_GB2312" w:hAnsi="仿宋_GB2312" w:eastAsia="仿宋_GB2312" w:cs="仿宋_GB2312"/>
          <w:color w:val="auto"/>
          <w:sz w:val="32"/>
          <w:szCs w:val="32"/>
          <w:highlight w:val="none"/>
          <w:lang w:eastAsia="zh-CN"/>
        </w:rPr>
        <w:t>公里。其中，全年改扩建公路</w:t>
      </w:r>
      <w:r>
        <w:rPr>
          <w:rFonts w:hint="eastAsia" w:ascii="仿宋_GB2312" w:hAnsi="仿宋_GB2312" w:eastAsia="仿宋_GB2312" w:cs="仿宋_GB2312"/>
          <w:color w:val="auto"/>
          <w:sz w:val="32"/>
          <w:szCs w:val="32"/>
          <w:highlight w:val="none"/>
          <w:lang w:val="en-US" w:eastAsia="zh-CN"/>
        </w:rPr>
        <w:t>66.169公里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年末民用</w:t>
      </w:r>
      <w:r>
        <w:rPr>
          <w:rFonts w:hint="eastAsia" w:ascii="仿宋_GB2312" w:hAnsi="仿宋_GB2312" w:eastAsia="仿宋_GB2312" w:cs="仿宋_GB2312"/>
          <w:color w:val="auto"/>
          <w:sz w:val="32"/>
          <w:szCs w:val="32"/>
          <w:highlight w:val="none"/>
          <w:lang w:eastAsia="zh-CN"/>
        </w:rPr>
        <w:t>客货</w:t>
      </w:r>
      <w:r>
        <w:rPr>
          <w:rFonts w:hint="eastAsia" w:ascii="仿宋_GB2312" w:hAnsi="仿宋_GB2312" w:eastAsia="仿宋_GB2312" w:cs="仿宋_GB2312"/>
          <w:color w:val="auto"/>
          <w:sz w:val="32"/>
          <w:szCs w:val="32"/>
          <w:highlight w:val="none"/>
        </w:rPr>
        <w:t>车拥有量</w:t>
      </w:r>
      <w:r>
        <w:rPr>
          <w:rFonts w:hint="eastAsia" w:ascii="仿宋_GB2312" w:hAnsi="仿宋_GB2312" w:eastAsia="仿宋_GB2312" w:cs="仿宋_GB2312"/>
          <w:color w:val="auto"/>
          <w:sz w:val="32"/>
          <w:szCs w:val="32"/>
          <w:highlight w:val="none"/>
          <w:lang w:val="en-US" w:eastAsia="zh-CN"/>
        </w:rPr>
        <w:t>230</w:t>
      </w:r>
      <w:r>
        <w:rPr>
          <w:rFonts w:hint="eastAsia" w:ascii="仿宋_GB2312" w:hAnsi="仿宋_GB2312" w:eastAsia="仿宋_GB2312" w:cs="仿宋_GB2312"/>
          <w:color w:val="auto"/>
          <w:sz w:val="32"/>
          <w:szCs w:val="32"/>
          <w:highlight w:val="none"/>
        </w:rPr>
        <w:t>辆，比上年</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2.95</w:t>
      </w:r>
      <w:r>
        <w:rPr>
          <w:rFonts w:hint="eastAsia" w:ascii="仿宋_GB2312" w:hAnsi="仿宋_GB2312" w:eastAsia="仿宋_GB2312" w:cs="仿宋_GB2312"/>
          <w:color w:val="auto"/>
          <w:sz w:val="32"/>
          <w:szCs w:val="32"/>
          <w:highlight w:val="none"/>
        </w:rPr>
        <w:t>%。</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五、固定资产投资</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全年固定资产投资（不含农户）完成</w:t>
      </w:r>
      <w:r>
        <w:rPr>
          <w:rFonts w:hint="eastAsia" w:ascii="仿宋_GB2312" w:hAnsi="仿宋_GB2312" w:eastAsia="仿宋_GB2312" w:cs="仿宋_GB2312"/>
          <w:b w:val="0"/>
          <w:bCs w:val="0"/>
          <w:color w:val="auto"/>
          <w:sz w:val="32"/>
          <w:szCs w:val="32"/>
          <w:highlight w:val="none"/>
          <w:lang w:val="en-US" w:eastAsia="zh-CN"/>
        </w:rPr>
        <w:t>183861</w:t>
      </w:r>
      <w:r>
        <w:rPr>
          <w:rFonts w:hint="eastAsia" w:ascii="仿宋_GB2312" w:hAnsi="仿宋_GB2312" w:eastAsia="仿宋_GB2312" w:cs="仿宋_GB2312"/>
          <w:b w:val="0"/>
          <w:bCs w:val="0"/>
          <w:color w:val="auto"/>
          <w:sz w:val="32"/>
          <w:szCs w:val="32"/>
          <w:highlight w:val="none"/>
          <w:lang w:val="zh-CN"/>
        </w:rPr>
        <w:t>万元，比上年增长</w:t>
      </w:r>
      <w:r>
        <w:rPr>
          <w:rFonts w:hint="eastAsia" w:ascii="仿宋_GB2312" w:hAnsi="仿宋_GB2312" w:eastAsia="仿宋_GB2312" w:cs="仿宋_GB2312"/>
          <w:b w:val="0"/>
          <w:bCs w:val="0"/>
          <w:color w:val="auto"/>
          <w:sz w:val="32"/>
          <w:szCs w:val="32"/>
          <w:highlight w:val="none"/>
          <w:lang w:val="en-US" w:eastAsia="zh-CN"/>
        </w:rPr>
        <w:t>82.52</w:t>
      </w:r>
      <w:r>
        <w:rPr>
          <w:rFonts w:hint="eastAsia" w:ascii="仿宋_GB2312" w:hAnsi="仿宋_GB2312" w:eastAsia="仿宋_GB2312" w:cs="仿宋_GB2312"/>
          <w:b w:val="0"/>
          <w:bCs w:val="0"/>
          <w:color w:val="auto"/>
          <w:sz w:val="32"/>
          <w:szCs w:val="32"/>
          <w:highlight w:val="none"/>
          <w:lang w:val="zh-CN"/>
        </w:rPr>
        <w:t>%。从经济类型看：国有经济投资</w:t>
      </w:r>
      <w:r>
        <w:rPr>
          <w:rFonts w:hint="eastAsia" w:ascii="仿宋_GB2312" w:hAnsi="仿宋_GB2312" w:eastAsia="仿宋_GB2312" w:cs="仿宋_GB2312"/>
          <w:b w:val="0"/>
          <w:bCs w:val="0"/>
          <w:color w:val="auto"/>
          <w:sz w:val="32"/>
          <w:szCs w:val="32"/>
          <w:highlight w:val="none"/>
          <w:lang w:val="en-US" w:eastAsia="zh-CN"/>
        </w:rPr>
        <w:t>156660</w:t>
      </w:r>
      <w:r>
        <w:rPr>
          <w:rFonts w:hint="eastAsia" w:ascii="仿宋_GB2312" w:hAnsi="仿宋_GB2312" w:eastAsia="仿宋_GB2312" w:cs="仿宋_GB2312"/>
          <w:b w:val="0"/>
          <w:bCs w:val="0"/>
          <w:color w:val="auto"/>
          <w:sz w:val="32"/>
          <w:szCs w:val="32"/>
          <w:highlight w:val="none"/>
          <w:lang w:val="zh-CN"/>
        </w:rPr>
        <w:t>万元，增长</w:t>
      </w:r>
      <w:r>
        <w:rPr>
          <w:rFonts w:hint="eastAsia" w:ascii="仿宋_GB2312" w:hAnsi="仿宋_GB2312" w:eastAsia="仿宋_GB2312" w:cs="仿宋_GB2312"/>
          <w:b w:val="0"/>
          <w:bCs w:val="0"/>
          <w:color w:val="auto"/>
          <w:sz w:val="32"/>
          <w:szCs w:val="32"/>
          <w:highlight w:val="none"/>
          <w:lang w:val="en-US" w:eastAsia="zh-CN"/>
        </w:rPr>
        <w:t>158</w:t>
      </w:r>
      <w:r>
        <w:rPr>
          <w:rFonts w:hint="eastAsia" w:ascii="仿宋_GB2312" w:hAnsi="仿宋_GB2312" w:eastAsia="仿宋_GB2312" w:cs="仿宋_GB2312"/>
          <w:b w:val="0"/>
          <w:bCs w:val="0"/>
          <w:color w:val="auto"/>
          <w:sz w:val="32"/>
          <w:szCs w:val="32"/>
          <w:highlight w:val="none"/>
          <w:lang w:val="zh-CN"/>
        </w:rPr>
        <w:t>%，国有经济占全社会总投资额的</w:t>
      </w:r>
      <w:r>
        <w:rPr>
          <w:rFonts w:hint="eastAsia" w:ascii="仿宋_GB2312" w:hAnsi="仿宋_GB2312" w:eastAsia="仿宋_GB2312" w:cs="仿宋_GB2312"/>
          <w:b w:val="0"/>
          <w:bCs w:val="0"/>
          <w:color w:val="auto"/>
          <w:sz w:val="32"/>
          <w:szCs w:val="32"/>
          <w:highlight w:val="none"/>
          <w:lang w:val="en-US" w:eastAsia="zh-CN"/>
        </w:rPr>
        <w:t>85.2</w:t>
      </w:r>
      <w:r>
        <w:rPr>
          <w:rFonts w:hint="eastAsia" w:ascii="仿宋_GB2312" w:hAnsi="仿宋_GB2312" w:eastAsia="仿宋_GB2312" w:cs="仿宋_GB2312"/>
          <w:b w:val="0"/>
          <w:bCs w:val="0"/>
          <w:color w:val="auto"/>
          <w:sz w:val="32"/>
          <w:szCs w:val="32"/>
          <w:highlight w:val="none"/>
          <w:lang w:val="zh-CN"/>
        </w:rPr>
        <w:t>%；非公有制经济投资</w:t>
      </w:r>
      <w:r>
        <w:rPr>
          <w:rFonts w:hint="eastAsia" w:ascii="仿宋_GB2312" w:hAnsi="仿宋_GB2312" w:eastAsia="仿宋_GB2312" w:cs="仿宋_GB2312"/>
          <w:b w:val="0"/>
          <w:bCs w:val="0"/>
          <w:color w:val="auto"/>
          <w:sz w:val="32"/>
          <w:szCs w:val="32"/>
          <w:highlight w:val="none"/>
          <w:lang w:val="en-US" w:eastAsia="zh-CN"/>
        </w:rPr>
        <w:t>27201</w:t>
      </w:r>
      <w:r>
        <w:rPr>
          <w:rFonts w:hint="eastAsia" w:ascii="仿宋_GB2312" w:hAnsi="仿宋_GB2312" w:eastAsia="仿宋_GB2312" w:cs="仿宋_GB2312"/>
          <w:b w:val="0"/>
          <w:bCs w:val="0"/>
          <w:color w:val="auto"/>
          <w:sz w:val="32"/>
          <w:szCs w:val="32"/>
          <w:highlight w:val="none"/>
          <w:lang w:val="zh-CN"/>
        </w:rPr>
        <w:t>万元，下降</w:t>
      </w:r>
      <w:r>
        <w:rPr>
          <w:rFonts w:hint="eastAsia" w:ascii="仿宋_GB2312" w:hAnsi="仿宋_GB2312" w:eastAsia="仿宋_GB2312" w:cs="仿宋_GB2312"/>
          <w:b w:val="0"/>
          <w:bCs w:val="0"/>
          <w:color w:val="auto"/>
          <w:sz w:val="32"/>
          <w:szCs w:val="32"/>
          <w:highlight w:val="none"/>
          <w:lang w:val="en-US" w:eastAsia="zh-CN"/>
        </w:rPr>
        <w:t>32.05</w:t>
      </w:r>
      <w:r>
        <w:rPr>
          <w:rFonts w:hint="eastAsia" w:ascii="仿宋_GB2312" w:hAnsi="仿宋_GB2312" w:eastAsia="仿宋_GB2312" w:cs="仿宋_GB2312"/>
          <w:b w:val="0"/>
          <w:bCs w:val="0"/>
          <w:color w:val="auto"/>
          <w:sz w:val="32"/>
          <w:szCs w:val="32"/>
          <w:highlight w:val="none"/>
          <w:lang w:val="zh-CN"/>
        </w:rPr>
        <w:t>%，非公有制经济投资占全社会总投资额的</w:t>
      </w:r>
      <w:r>
        <w:rPr>
          <w:rFonts w:hint="eastAsia" w:ascii="仿宋_GB2312" w:hAnsi="仿宋_GB2312" w:eastAsia="仿宋_GB2312" w:cs="仿宋_GB2312"/>
          <w:b w:val="0"/>
          <w:bCs w:val="0"/>
          <w:color w:val="auto"/>
          <w:sz w:val="32"/>
          <w:szCs w:val="32"/>
          <w:highlight w:val="none"/>
          <w:lang w:val="en-US" w:eastAsia="zh-CN"/>
        </w:rPr>
        <w:t>14.8</w:t>
      </w:r>
      <w:r>
        <w:rPr>
          <w:rFonts w:hint="eastAsia" w:ascii="仿宋_GB2312" w:hAnsi="仿宋_GB2312" w:eastAsia="仿宋_GB2312" w:cs="仿宋_GB2312"/>
          <w:b w:val="0"/>
          <w:bCs w:val="0"/>
          <w:color w:val="auto"/>
          <w:sz w:val="32"/>
          <w:szCs w:val="32"/>
          <w:highlight w:val="none"/>
          <w:lang w:val="zh-CN"/>
        </w:rPr>
        <w:t>%。分产业类型看：第一产业投资</w:t>
      </w:r>
      <w:r>
        <w:rPr>
          <w:rFonts w:hint="eastAsia" w:ascii="仿宋_GB2312" w:hAnsi="仿宋_GB2312" w:eastAsia="仿宋_GB2312" w:cs="仿宋_GB2312"/>
          <w:b w:val="0"/>
          <w:bCs w:val="0"/>
          <w:color w:val="auto"/>
          <w:sz w:val="32"/>
          <w:szCs w:val="32"/>
          <w:highlight w:val="none"/>
          <w:lang w:val="en-US" w:eastAsia="zh-CN"/>
        </w:rPr>
        <w:t>7820</w:t>
      </w:r>
      <w:r>
        <w:rPr>
          <w:rFonts w:hint="eastAsia" w:ascii="仿宋_GB2312" w:hAnsi="仿宋_GB2312" w:eastAsia="仿宋_GB2312" w:cs="仿宋_GB2312"/>
          <w:b w:val="0"/>
          <w:bCs w:val="0"/>
          <w:color w:val="auto"/>
          <w:sz w:val="32"/>
          <w:szCs w:val="32"/>
          <w:highlight w:val="none"/>
          <w:lang w:val="zh-CN"/>
        </w:rPr>
        <w:t>万元，增长</w:t>
      </w:r>
      <w:r>
        <w:rPr>
          <w:rFonts w:hint="eastAsia" w:ascii="仿宋_GB2312" w:hAnsi="仿宋_GB2312" w:eastAsia="仿宋_GB2312" w:cs="仿宋_GB2312"/>
          <w:b w:val="0"/>
          <w:bCs w:val="0"/>
          <w:color w:val="auto"/>
          <w:sz w:val="32"/>
          <w:szCs w:val="32"/>
          <w:highlight w:val="none"/>
          <w:lang w:val="en-US" w:eastAsia="zh-CN"/>
        </w:rPr>
        <w:t>80.52</w:t>
      </w:r>
      <w:r>
        <w:rPr>
          <w:rFonts w:hint="eastAsia" w:ascii="仿宋_GB2312" w:hAnsi="仿宋_GB2312" w:eastAsia="仿宋_GB2312" w:cs="仿宋_GB2312"/>
          <w:b w:val="0"/>
          <w:bCs w:val="0"/>
          <w:color w:val="auto"/>
          <w:sz w:val="32"/>
          <w:szCs w:val="32"/>
          <w:highlight w:val="none"/>
          <w:lang w:val="zh-CN"/>
        </w:rPr>
        <w:t>%，占总投资额的</w:t>
      </w:r>
      <w:r>
        <w:rPr>
          <w:rFonts w:hint="eastAsia" w:ascii="仿宋_GB2312" w:hAnsi="仿宋_GB2312" w:eastAsia="仿宋_GB2312" w:cs="仿宋_GB2312"/>
          <w:b w:val="0"/>
          <w:bCs w:val="0"/>
          <w:color w:val="auto"/>
          <w:sz w:val="32"/>
          <w:szCs w:val="32"/>
          <w:highlight w:val="none"/>
          <w:lang w:val="en-US" w:eastAsia="zh-CN"/>
        </w:rPr>
        <w:t>4.25</w:t>
      </w:r>
      <w:r>
        <w:rPr>
          <w:rFonts w:hint="eastAsia" w:ascii="仿宋_GB2312" w:hAnsi="仿宋_GB2312" w:eastAsia="仿宋_GB2312" w:cs="仿宋_GB2312"/>
          <w:b w:val="0"/>
          <w:bCs w:val="0"/>
          <w:color w:val="auto"/>
          <w:sz w:val="32"/>
          <w:szCs w:val="32"/>
          <w:highlight w:val="none"/>
          <w:lang w:val="zh-CN"/>
        </w:rPr>
        <w:t>%；第二产业投资</w:t>
      </w:r>
      <w:r>
        <w:rPr>
          <w:rFonts w:hint="eastAsia" w:ascii="仿宋_GB2312" w:hAnsi="仿宋_GB2312" w:eastAsia="仿宋_GB2312" w:cs="仿宋_GB2312"/>
          <w:b w:val="0"/>
          <w:bCs w:val="0"/>
          <w:color w:val="auto"/>
          <w:sz w:val="32"/>
          <w:szCs w:val="32"/>
          <w:highlight w:val="none"/>
          <w:lang w:val="en-US" w:eastAsia="zh-CN"/>
        </w:rPr>
        <w:t>124038</w:t>
      </w:r>
      <w:r>
        <w:rPr>
          <w:rFonts w:hint="eastAsia" w:ascii="仿宋_GB2312" w:hAnsi="仿宋_GB2312" w:eastAsia="仿宋_GB2312" w:cs="仿宋_GB2312"/>
          <w:b w:val="0"/>
          <w:bCs w:val="0"/>
          <w:color w:val="auto"/>
          <w:sz w:val="32"/>
          <w:szCs w:val="32"/>
          <w:highlight w:val="none"/>
          <w:lang w:val="zh-CN"/>
        </w:rPr>
        <w:t>万元，增长</w:t>
      </w:r>
      <w:r>
        <w:rPr>
          <w:rFonts w:hint="eastAsia" w:ascii="仿宋_GB2312" w:hAnsi="仿宋_GB2312" w:eastAsia="仿宋_GB2312" w:cs="仿宋_GB2312"/>
          <w:b w:val="0"/>
          <w:bCs w:val="0"/>
          <w:color w:val="auto"/>
          <w:sz w:val="32"/>
          <w:szCs w:val="32"/>
          <w:highlight w:val="none"/>
          <w:lang w:val="en-US" w:eastAsia="zh-CN"/>
        </w:rPr>
        <w:t>398.24</w:t>
      </w:r>
      <w:r>
        <w:rPr>
          <w:rFonts w:hint="eastAsia" w:ascii="仿宋_GB2312" w:hAnsi="仿宋_GB2312" w:eastAsia="仿宋_GB2312" w:cs="仿宋_GB2312"/>
          <w:b w:val="0"/>
          <w:bCs w:val="0"/>
          <w:color w:val="auto"/>
          <w:sz w:val="32"/>
          <w:szCs w:val="32"/>
          <w:highlight w:val="none"/>
          <w:lang w:val="zh-CN"/>
        </w:rPr>
        <w:t>%，占总投资额的</w:t>
      </w:r>
      <w:r>
        <w:rPr>
          <w:rFonts w:hint="eastAsia" w:ascii="仿宋_GB2312" w:hAnsi="仿宋_GB2312" w:eastAsia="仿宋_GB2312" w:cs="仿宋_GB2312"/>
          <w:b w:val="0"/>
          <w:bCs w:val="0"/>
          <w:color w:val="auto"/>
          <w:sz w:val="32"/>
          <w:szCs w:val="32"/>
          <w:highlight w:val="none"/>
          <w:lang w:val="en-US" w:eastAsia="zh-CN"/>
        </w:rPr>
        <w:t>67.46</w:t>
      </w:r>
      <w:r>
        <w:rPr>
          <w:rFonts w:hint="eastAsia" w:ascii="仿宋_GB2312" w:hAnsi="仿宋_GB2312" w:eastAsia="仿宋_GB2312" w:cs="仿宋_GB2312"/>
          <w:b w:val="0"/>
          <w:bCs w:val="0"/>
          <w:color w:val="auto"/>
          <w:sz w:val="32"/>
          <w:szCs w:val="32"/>
          <w:highlight w:val="none"/>
          <w:lang w:val="zh-CN"/>
        </w:rPr>
        <w:t>%；第三产业投资</w:t>
      </w:r>
      <w:r>
        <w:rPr>
          <w:rFonts w:hint="eastAsia" w:ascii="仿宋_GB2312" w:hAnsi="仿宋_GB2312" w:eastAsia="仿宋_GB2312" w:cs="仿宋_GB2312"/>
          <w:b w:val="0"/>
          <w:bCs w:val="0"/>
          <w:color w:val="auto"/>
          <w:sz w:val="32"/>
          <w:szCs w:val="32"/>
          <w:highlight w:val="none"/>
          <w:lang w:val="en-US" w:eastAsia="zh-CN"/>
        </w:rPr>
        <w:t>52003</w:t>
      </w:r>
      <w:r>
        <w:rPr>
          <w:rFonts w:hint="eastAsia" w:ascii="仿宋_GB2312" w:hAnsi="仿宋_GB2312" w:eastAsia="仿宋_GB2312" w:cs="仿宋_GB2312"/>
          <w:b w:val="0"/>
          <w:bCs w:val="0"/>
          <w:color w:val="auto"/>
          <w:sz w:val="32"/>
          <w:szCs w:val="32"/>
          <w:highlight w:val="none"/>
          <w:lang w:val="zh-CN"/>
        </w:rPr>
        <w:t>万元，下降</w:t>
      </w:r>
      <w:r>
        <w:rPr>
          <w:rFonts w:hint="eastAsia" w:ascii="仿宋_GB2312" w:hAnsi="仿宋_GB2312" w:eastAsia="仿宋_GB2312" w:cs="仿宋_GB2312"/>
          <w:b w:val="0"/>
          <w:bCs w:val="0"/>
          <w:color w:val="auto"/>
          <w:sz w:val="32"/>
          <w:szCs w:val="32"/>
          <w:highlight w:val="none"/>
          <w:lang w:val="en-US" w:eastAsia="zh-CN"/>
        </w:rPr>
        <w:t>27.27</w:t>
      </w:r>
      <w:r>
        <w:rPr>
          <w:rFonts w:hint="eastAsia" w:ascii="仿宋_GB2312" w:hAnsi="仿宋_GB2312" w:eastAsia="仿宋_GB2312" w:cs="仿宋_GB2312"/>
          <w:b w:val="0"/>
          <w:bCs w:val="0"/>
          <w:color w:val="auto"/>
          <w:sz w:val="32"/>
          <w:szCs w:val="32"/>
          <w:highlight w:val="none"/>
          <w:lang w:val="zh-CN"/>
        </w:rPr>
        <w:t>%，占总投资额的</w:t>
      </w:r>
      <w:r>
        <w:rPr>
          <w:rFonts w:hint="eastAsia" w:ascii="仿宋_GB2312" w:hAnsi="仿宋_GB2312" w:eastAsia="仿宋_GB2312" w:cs="仿宋_GB2312"/>
          <w:b w:val="0"/>
          <w:bCs w:val="0"/>
          <w:color w:val="auto"/>
          <w:sz w:val="32"/>
          <w:szCs w:val="32"/>
          <w:highlight w:val="none"/>
          <w:lang w:val="en-US" w:eastAsia="zh-CN"/>
        </w:rPr>
        <w:t>28.28</w:t>
      </w:r>
      <w:r>
        <w:rPr>
          <w:rFonts w:hint="eastAsia" w:ascii="仿宋_GB2312" w:hAnsi="仿宋_GB2312" w:eastAsia="仿宋_GB2312" w:cs="仿宋_GB2312"/>
          <w:b w:val="0"/>
          <w:bCs w:val="0"/>
          <w:color w:val="auto"/>
          <w:sz w:val="32"/>
          <w:szCs w:val="32"/>
          <w:highlight w:val="none"/>
          <w:lang w:val="zh-CN"/>
        </w:rPr>
        <w:t>%。民间投资下降</w:t>
      </w:r>
      <w:r>
        <w:rPr>
          <w:rFonts w:hint="eastAsia" w:ascii="仿宋_GB2312" w:hAnsi="仿宋_GB2312" w:eastAsia="仿宋_GB2312" w:cs="仿宋_GB2312"/>
          <w:b w:val="0"/>
          <w:bCs w:val="0"/>
          <w:color w:val="auto"/>
          <w:sz w:val="32"/>
          <w:szCs w:val="32"/>
          <w:highlight w:val="none"/>
          <w:lang w:val="en-US" w:eastAsia="zh-CN"/>
        </w:rPr>
        <w:t>32.05</w:t>
      </w:r>
      <w:r>
        <w:rPr>
          <w:rFonts w:hint="eastAsia" w:ascii="仿宋_GB2312" w:hAnsi="仿宋_GB2312" w:eastAsia="仿宋_GB2312" w:cs="仿宋_GB2312"/>
          <w:b w:val="0"/>
          <w:bCs w:val="0"/>
          <w:color w:val="auto"/>
          <w:sz w:val="32"/>
          <w:szCs w:val="32"/>
          <w:highlight w:val="none"/>
          <w:lang w:val="zh-CN"/>
        </w:rPr>
        <w:t>%，基础设施投资增长</w:t>
      </w:r>
      <w:r>
        <w:rPr>
          <w:rFonts w:hint="eastAsia" w:ascii="仿宋_GB2312" w:hAnsi="仿宋_GB2312" w:eastAsia="仿宋_GB2312" w:cs="仿宋_GB2312"/>
          <w:b w:val="0"/>
          <w:bCs w:val="0"/>
          <w:color w:val="auto"/>
          <w:sz w:val="32"/>
          <w:szCs w:val="32"/>
          <w:highlight w:val="none"/>
          <w:lang w:val="en-US" w:eastAsia="zh-CN"/>
        </w:rPr>
        <w:t>223.41</w:t>
      </w:r>
      <w:r>
        <w:rPr>
          <w:rFonts w:hint="eastAsia" w:ascii="仿宋_GB2312" w:hAnsi="仿宋_GB2312" w:eastAsia="仿宋_GB2312" w:cs="仿宋_GB2312"/>
          <w:b w:val="0"/>
          <w:bCs w:val="0"/>
          <w:color w:val="auto"/>
          <w:sz w:val="32"/>
          <w:szCs w:val="32"/>
          <w:highlight w:val="none"/>
          <w:lang w:val="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olor w:val="auto"/>
          <w:kern w:val="10"/>
          <w:sz w:val="32"/>
          <w:szCs w:val="32"/>
          <w:highlight w:val="none"/>
          <w:lang w:val="en-US" w:eastAsia="zh-CN"/>
        </w:rPr>
      </w:pPr>
      <w:r>
        <w:rPr>
          <w:rFonts w:hint="eastAsia" w:ascii="仿宋_GB2312" w:hAnsi="宋体" w:eastAsia="仿宋_GB2312"/>
          <w:color w:val="auto"/>
          <w:kern w:val="10"/>
          <w:sz w:val="32"/>
          <w:szCs w:val="32"/>
          <w:highlight w:val="none"/>
          <w:lang w:val="en-US" w:eastAsia="zh-CN"/>
        </w:rPr>
        <w:t>全年</w:t>
      </w:r>
      <w:r>
        <w:rPr>
          <w:rFonts w:hint="eastAsia" w:ascii="仿宋_GB2312" w:hAnsi="宋体" w:eastAsia="仿宋_GB2312"/>
          <w:color w:val="auto"/>
          <w:kern w:val="10"/>
          <w:sz w:val="32"/>
          <w:szCs w:val="32"/>
          <w:highlight w:val="none"/>
        </w:rPr>
        <w:t>房地产投资</w:t>
      </w:r>
      <w:r>
        <w:rPr>
          <w:rFonts w:hint="eastAsia" w:ascii="仿宋_GB2312" w:hAnsi="仿宋_GB2312" w:eastAsia="仿宋_GB2312" w:cs="仿宋_GB2312"/>
          <w:color w:val="auto"/>
          <w:sz w:val="32"/>
          <w:szCs w:val="32"/>
          <w:highlight w:val="none"/>
          <w:lang w:val="zh-CN"/>
        </w:rPr>
        <w:t>完成</w:t>
      </w:r>
      <w:r>
        <w:rPr>
          <w:rFonts w:hint="eastAsia" w:ascii="仿宋_GB2312" w:hAnsi="仿宋_GB2312" w:eastAsia="仿宋_GB2312" w:cs="仿宋_GB2312"/>
          <w:color w:val="auto"/>
          <w:sz w:val="32"/>
          <w:szCs w:val="32"/>
          <w:highlight w:val="none"/>
          <w:lang w:val="en-US" w:eastAsia="zh-CN"/>
        </w:rPr>
        <w:t>7772</w:t>
      </w:r>
      <w:r>
        <w:rPr>
          <w:rFonts w:hint="eastAsia" w:ascii="仿宋_GB2312" w:hAnsi="仿宋_GB2312" w:eastAsia="仿宋_GB2312" w:cs="仿宋_GB2312"/>
          <w:color w:val="auto"/>
          <w:sz w:val="32"/>
          <w:szCs w:val="32"/>
          <w:highlight w:val="none"/>
          <w:lang w:val="zh-CN"/>
        </w:rPr>
        <w:t>万元，比上年下降</w:t>
      </w:r>
      <w:r>
        <w:rPr>
          <w:rFonts w:hint="eastAsia" w:ascii="仿宋_GB2312" w:hAnsi="仿宋_GB2312" w:eastAsia="仿宋_GB2312" w:cs="仿宋_GB2312"/>
          <w:color w:val="auto"/>
          <w:sz w:val="32"/>
          <w:szCs w:val="32"/>
          <w:highlight w:val="none"/>
          <w:lang w:val="en-US" w:eastAsia="zh-CN"/>
        </w:rPr>
        <w:t>45.92</w:t>
      </w:r>
      <w:r>
        <w:rPr>
          <w:rFonts w:hint="eastAsia" w:ascii="仿宋_GB2312" w:hAnsi="仿宋_GB2312" w:eastAsia="仿宋_GB2312" w:cs="仿宋_GB2312"/>
          <w:color w:val="auto"/>
          <w:sz w:val="32"/>
          <w:szCs w:val="32"/>
          <w:highlight w:val="none"/>
          <w:lang w:val="zh-CN"/>
        </w:rPr>
        <w:t>%</w:t>
      </w:r>
      <w:r>
        <w:rPr>
          <w:rFonts w:hint="eastAsia" w:ascii="仿宋_GB2312" w:hAnsi="宋体" w:eastAsia="仿宋_GB2312"/>
          <w:color w:val="auto"/>
          <w:kern w:val="10"/>
          <w:sz w:val="32"/>
          <w:szCs w:val="32"/>
          <w:highlight w:val="none"/>
        </w:rPr>
        <w:t>。</w:t>
      </w:r>
      <w:r>
        <w:rPr>
          <w:rFonts w:hint="eastAsia" w:ascii="仿宋_GB2312" w:hAnsi="宋体" w:eastAsia="仿宋_GB2312"/>
          <w:color w:val="auto"/>
          <w:kern w:val="10"/>
          <w:sz w:val="32"/>
          <w:szCs w:val="32"/>
          <w:highlight w:val="none"/>
          <w:lang w:eastAsia="zh-CN"/>
        </w:rPr>
        <w:t>新开工住房面积</w:t>
      </w:r>
      <w:r>
        <w:rPr>
          <w:rFonts w:hint="eastAsia" w:ascii="仿宋_GB2312" w:hAnsi="宋体" w:eastAsia="仿宋_GB2312"/>
          <w:color w:val="auto"/>
          <w:kern w:val="10"/>
          <w:sz w:val="32"/>
          <w:szCs w:val="32"/>
          <w:highlight w:val="none"/>
          <w:lang w:val="en-US" w:eastAsia="zh-CN"/>
        </w:rPr>
        <w:t>6.02</w:t>
      </w:r>
      <w:r>
        <w:rPr>
          <w:rFonts w:hint="eastAsia" w:ascii="仿宋_GB2312" w:hAnsi="宋体" w:eastAsia="仿宋_GB2312"/>
          <w:color w:val="auto"/>
          <w:kern w:val="10"/>
          <w:sz w:val="32"/>
          <w:szCs w:val="32"/>
          <w:highlight w:val="none"/>
        </w:rPr>
        <w:t>万平方米，</w:t>
      </w:r>
      <w:r>
        <w:rPr>
          <w:rFonts w:hint="eastAsia" w:ascii="仿宋_GB2312" w:hAnsi="宋体" w:eastAsia="仿宋_GB2312"/>
          <w:color w:val="auto"/>
          <w:kern w:val="10"/>
          <w:sz w:val="32"/>
          <w:szCs w:val="32"/>
          <w:highlight w:val="none"/>
          <w:lang w:eastAsia="zh-CN"/>
        </w:rPr>
        <w:t>比上年增长</w:t>
      </w:r>
      <w:r>
        <w:rPr>
          <w:rFonts w:hint="eastAsia" w:ascii="仿宋_GB2312" w:hAnsi="宋体" w:eastAsia="仿宋_GB2312"/>
          <w:color w:val="auto"/>
          <w:kern w:val="10"/>
          <w:sz w:val="32"/>
          <w:szCs w:val="32"/>
          <w:highlight w:val="none"/>
          <w:lang w:val="en-US" w:eastAsia="zh-CN"/>
        </w:rPr>
        <w:t>156</w:t>
      </w:r>
      <w:r>
        <w:rPr>
          <w:rFonts w:hint="eastAsia" w:ascii="仿宋_GB2312" w:hAnsi="宋体" w:eastAsia="仿宋_GB2312"/>
          <w:color w:val="auto"/>
          <w:kern w:val="10"/>
          <w:sz w:val="32"/>
          <w:szCs w:val="32"/>
          <w:highlight w:val="none"/>
        </w:rPr>
        <w:t>%</w:t>
      </w:r>
      <w:r>
        <w:rPr>
          <w:rFonts w:hint="eastAsia" w:ascii="仿宋_GB2312" w:hAnsi="宋体" w:eastAsia="仿宋_GB2312"/>
          <w:color w:val="auto"/>
          <w:kern w:val="10"/>
          <w:sz w:val="32"/>
          <w:szCs w:val="32"/>
          <w:highlight w:val="none"/>
          <w:lang w:eastAsia="zh-CN"/>
        </w:rPr>
        <w:t>。</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六、国内贸易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宋体" w:eastAsia="仿宋_GB2312"/>
          <w:b w:val="0"/>
          <w:bCs w:val="0"/>
          <w:color w:val="auto"/>
          <w:kern w:val="10"/>
          <w:sz w:val="32"/>
          <w:szCs w:val="32"/>
          <w:highlight w:val="none"/>
          <w:lang w:val="zh-CN"/>
        </w:rPr>
      </w:pPr>
      <w:r>
        <w:rPr>
          <w:rFonts w:hint="eastAsia" w:ascii="仿宋_GB2312" w:hAnsi="宋体" w:eastAsia="仿宋_GB2312"/>
          <w:b w:val="0"/>
          <w:bCs w:val="0"/>
          <w:color w:val="auto"/>
          <w:kern w:val="10"/>
          <w:sz w:val="32"/>
          <w:szCs w:val="32"/>
          <w:highlight w:val="none"/>
        </w:rPr>
        <w:t>全年</w:t>
      </w:r>
      <w:r>
        <w:rPr>
          <w:rFonts w:hint="eastAsia" w:ascii="仿宋_GB2312" w:hAnsi="宋体" w:eastAsia="仿宋_GB2312"/>
          <w:b w:val="0"/>
          <w:bCs w:val="0"/>
          <w:color w:val="auto"/>
          <w:kern w:val="10"/>
          <w:sz w:val="32"/>
          <w:szCs w:val="32"/>
          <w:highlight w:val="none"/>
          <w:lang w:eastAsia="zh-CN"/>
        </w:rPr>
        <w:t>社会</w:t>
      </w:r>
      <w:r>
        <w:rPr>
          <w:rFonts w:hint="eastAsia" w:ascii="仿宋_GB2312" w:hAnsi="宋体" w:eastAsia="仿宋_GB2312"/>
          <w:b w:val="0"/>
          <w:bCs w:val="0"/>
          <w:color w:val="auto"/>
          <w:kern w:val="10"/>
          <w:sz w:val="32"/>
          <w:szCs w:val="32"/>
          <w:highlight w:val="none"/>
        </w:rPr>
        <w:t>消费品零售总额</w:t>
      </w:r>
      <w:r>
        <w:rPr>
          <w:rFonts w:hint="eastAsia" w:ascii="仿宋_GB2312" w:hAnsi="宋体" w:eastAsia="仿宋_GB2312"/>
          <w:b w:val="0"/>
          <w:bCs w:val="0"/>
          <w:color w:val="auto"/>
          <w:kern w:val="10"/>
          <w:sz w:val="32"/>
          <w:szCs w:val="32"/>
          <w:highlight w:val="none"/>
          <w:lang w:val="en-US" w:eastAsia="zh-CN"/>
        </w:rPr>
        <w:t>31372.39</w:t>
      </w:r>
      <w:r>
        <w:rPr>
          <w:rFonts w:hint="eastAsia" w:ascii="仿宋_GB2312" w:hAnsi="宋体" w:eastAsia="仿宋_GB2312"/>
          <w:b w:val="0"/>
          <w:bCs w:val="0"/>
          <w:color w:val="auto"/>
          <w:kern w:val="10"/>
          <w:sz w:val="32"/>
          <w:szCs w:val="32"/>
          <w:highlight w:val="none"/>
        </w:rPr>
        <w:t>万元，</w:t>
      </w:r>
      <w:r>
        <w:rPr>
          <w:rFonts w:hint="eastAsia" w:ascii="仿宋_GB2312" w:hAnsi="宋体" w:eastAsia="仿宋_GB2312"/>
          <w:b w:val="0"/>
          <w:bCs w:val="0"/>
          <w:color w:val="auto"/>
          <w:kern w:val="10"/>
          <w:sz w:val="32"/>
          <w:szCs w:val="32"/>
          <w:highlight w:val="none"/>
          <w:lang w:eastAsia="zh-CN"/>
        </w:rPr>
        <w:t>比上年增长</w:t>
      </w:r>
      <w:r>
        <w:rPr>
          <w:rFonts w:hint="eastAsia" w:ascii="仿宋_GB2312" w:hAnsi="宋体" w:eastAsia="仿宋_GB2312"/>
          <w:b w:val="0"/>
          <w:bCs w:val="0"/>
          <w:color w:val="auto"/>
          <w:kern w:val="10"/>
          <w:sz w:val="32"/>
          <w:szCs w:val="32"/>
          <w:highlight w:val="none"/>
          <w:lang w:val="en-US" w:eastAsia="zh-CN"/>
        </w:rPr>
        <w:t>16.1</w:t>
      </w:r>
      <w:r>
        <w:rPr>
          <w:rFonts w:hint="eastAsia" w:ascii="仿宋_GB2312" w:hAnsi="宋体" w:eastAsia="仿宋_GB2312"/>
          <w:b w:val="0"/>
          <w:bCs w:val="0"/>
          <w:color w:val="auto"/>
          <w:kern w:val="10"/>
          <w:sz w:val="32"/>
          <w:szCs w:val="32"/>
          <w:highlight w:val="none"/>
        </w:rPr>
        <w:t>%。</w:t>
      </w:r>
      <w:r>
        <w:rPr>
          <w:rFonts w:hint="eastAsia" w:ascii="仿宋_GB2312" w:hAnsi="宋体" w:eastAsia="仿宋_GB2312"/>
          <w:b w:val="0"/>
          <w:bCs w:val="0"/>
          <w:color w:val="auto"/>
          <w:kern w:val="10"/>
          <w:sz w:val="32"/>
          <w:szCs w:val="32"/>
          <w:highlight w:val="none"/>
          <w:lang w:val="zh-CN"/>
        </w:rPr>
        <w:t>按经营地统计，城镇消费品零售总额</w:t>
      </w:r>
      <w:r>
        <w:rPr>
          <w:rFonts w:hint="eastAsia" w:ascii="仿宋_GB2312" w:hAnsi="宋体" w:eastAsia="仿宋_GB2312"/>
          <w:b w:val="0"/>
          <w:bCs w:val="0"/>
          <w:color w:val="auto"/>
          <w:kern w:val="10"/>
          <w:sz w:val="32"/>
          <w:szCs w:val="32"/>
          <w:highlight w:val="none"/>
          <w:lang w:val="en-US" w:eastAsia="zh-CN"/>
        </w:rPr>
        <w:t>20771.59</w:t>
      </w:r>
      <w:r>
        <w:rPr>
          <w:rFonts w:hint="eastAsia" w:ascii="仿宋_GB2312" w:hAnsi="宋体" w:eastAsia="仿宋_GB2312"/>
          <w:b w:val="0"/>
          <w:bCs w:val="0"/>
          <w:color w:val="auto"/>
          <w:kern w:val="10"/>
          <w:sz w:val="32"/>
          <w:szCs w:val="32"/>
          <w:highlight w:val="none"/>
          <w:lang w:val="zh-CN"/>
        </w:rPr>
        <w:t>万元，增长</w:t>
      </w:r>
      <w:r>
        <w:rPr>
          <w:rFonts w:hint="eastAsia" w:ascii="仿宋_GB2312" w:hAnsi="宋体" w:eastAsia="仿宋_GB2312"/>
          <w:b w:val="0"/>
          <w:bCs w:val="0"/>
          <w:color w:val="auto"/>
          <w:kern w:val="10"/>
          <w:sz w:val="32"/>
          <w:szCs w:val="32"/>
          <w:highlight w:val="none"/>
          <w:lang w:val="en-US" w:eastAsia="zh-CN"/>
        </w:rPr>
        <w:t>20.2</w:t>
      </w:r>
      <w:r>
        <w:rPr>
          <w:rFonts w:hint="eastAsia" w:ascii="仿宋_GB2312" w:hAnsi="宋体" w:eastAsia="仿宋_GB2312"/>
          <w:b w:val="0"/>
          <w:bCs w:val="0"/>
          <w:color w:val="auto"/>
          <w:kern w:val="10"/>
          <w:sz w:val="32"/>
          <w:szCs w:val="32"/>
          <w:highlight w:val="none"/>
          <w:lang w:val="zh-CN"/>
        </w:rPr>
        <w:t>%；乡村消费品零售总额</w:t>
      </w:r>
      <w:r>
        <w:rPr>
          <w:rFonts w:hint="eastAsia" w:ascii="仿宋_GB2312" w:hAnsi="宋体" w:eastAsia="仿宋_GB2312"/>
          <w:b w:val="0"/>
          <w:bCs w:val="0"/>
          <w:color w:val="auto"/>
          <w:kern w:val="10"/>
          <w:sz w:val="32"/>
          <w:szCs w:val="32"/>
          <w:highlight w:val="none"/>
          <w:lang w:val="en-US" w:eastAsia="zh-CN"/>
        </w:rPr>
        <w:t>10600.8</w:t>
      </w:r>
      <w:r>
        <w:rPr>
          <w:rFonts w:hint="eastAsia" w:ascii="仿宋_GB2312" w:hAnsi="宋体" w:eastAsia="仿宋_GB2312"/>
          <w:b w:val="0"/>
          <w:bCs w:val="0"/>
          <w:color w:val="auto"/>
          <w:kern w:val="10"/>
          <w:sz w:val="32"/>
          <w:szCs w:val="32"/>
          <w:highlight w:val="none"/>
          <w:lang w:val="zh-CN"/>
        </w:rPr>
        <w:t>万元，增长</w:t>
      </w:r>
      <w:r>
        <w:rPr>
          <w:rFonts w:hint="eastAsia" w:ascii="仿宋_GB2312" w:hAnsi="宋体" w:eastAsia="仿宋_GB2312"/>
          <w:b w:val="0"/>
          <w:bCs w:val="0"/>
          <w:color w:val="auto"/>
          <w:kern w:val="10"/>
          <w:sz w:val="32"/>
          <w:szCs w:val="32"/>
          <w:highlight w:val="none"/>
          <w:lang w:val="en-US" w:eastAsia="zh-CN"/>
        </w:rPr>
        <w:t>8.9</w:t>
      </w:r>
      <w:r>
        <w:rPr>
          <w:rFonts w:hint="eastAsia" w:ascii="仿宋_GB2312" w:hAnsi="宋体" w:eastAsia="仿宋_GB2312"/>
          <w:b w:val="0"/>
          <w:bCs w:val="0"/>
          <w:color w:val="auto"/>
          <w:kern w:val="10"/>
          <w:sz w:val="32"/>
          <w:szCs w:val="32"/>
          <w:highlight w:val="none"/>
          <w:lang w:val="zh-CN"/>
        </w:rPr>
        <w:t>%。按消费形态统计，商品零售额</w:t>
      </w:r>
      <w:r>
        <w:rPr>
          <w:rFonts w:hint="eastAsia" w:ascii="仿宋_GB2312" w:hAnsi="宋体" w:eastAsia="仿宋_GB2312"/>
          <w:b w:val="0"/>
          <w:bCs w:val="0"/>
          <w:color w:val="auto"/>
          <w:kern w:val="10"/>
          <w:sz w:val="32"/>
          <w:szCs w:val="32"/>
          <w:highlight w:val="none"/>
          <w:lang w:val="en-US" w:eastAsia="zh-CN"/>
        </w:rPr>
        <w:t>24806.39</w:t>
      </w:r>
      <w:r>
        <w:rPr>
          <w:rFonts w:hint="eastAsia" w:ascii="仿宋_GB2312" w:hAnsi="宋体" w:eastAsia="仿宋_GB2312"/>
          <w:b w:val="0"/>
          <w:bCs w:val="0"/>
          <w:color w:val="auto"/>
          <w:kern w:val="10"/>
          <w:sz w:val="32"/>
          <w:szCs w:val="32"/>
          <w:highlight w:val="none"/>
          <w:lang w:val="zh-CN"/>
        </w:rPr>
        <w:t>万元，增长</w:t>
      </w:r>
      <w:r>
        <w:rPr>
          <w:rFonts w:hint="eastAsia" w:ascii="仿宋_GB2312" w:hAnsi="宋体" w:eastAsia="仿宋_GB2312"/>
          <w:b w:val="0"/>
          <w:bCs w:val="0"/>
          <w:color w:val="auto"/>
          <w:kern w:val="10"/>
          <w:sz w:val="32"/>
          <w:szCs w:val="32"/>
          <w:highlight w:val="none"/>
          <w:lang w:val="en-US" w:eastAsia="zh-CN"/>
        </w:rPr>
        <w:t>17</w:t>
      </w:r>
      <w:r>
        <w:rPr>
          <w:rFonts w:hint="eastAsia" w:ascii="仿宋_GB2312" w:hAnsi="宋体" w:eastAsia="仿宋_GB2312"/>
          <w:b w:val="0"/>
          <w:bCs w:val="0"/>
          <w:color w:val="auto"/>
          <w:kern w:val="10"/>
          <w:sz w:val="32"/>
          <w:szCs w:val="32"/>
          <w:highlight w:val="none"/>
          <w:lang w:val="zh-CN"/>
        </w:rPr>
        <w:t>%；餐饮收入额</w:t>
      </w:r>
      <w:r>
        <w:rPr>
          <w:rFonts w:hint="eastAsia" w:ascii="仿宋_GB2312" w:hAnsi="宋体" w:eastAsia="仿宋_GB2312"/>
          <w:b w:val="0"/>
          <w:bCs w:val="0"/>
          <w:color w:val="auto"/>
          <w:kern w:val="10"/>
          <w:sz w:val="32"/>
          <w:szCs w:val="32"/>
          <w:highlight w:val="none"/>
          <w:lang w:val="en-US" w:eastAsia="zh-CN"/>
        </w:rPr>
        <w:t>6566</w:t>
      </w:r>
      <w:r>
        <w:rPr>
          <w:rFonts w:hint="eastAsia" w:ascii="仿宋_GB2312" w:hAnsi="宋体" w:eastAsia="仿宋_GB2312"/>
          <w:b w:val="0"/>
          <w:bCs w:val="0"/>
          <w:color w:val="auto"/>
          <w:kern w:val="10"/>
          <w:sz w:val="32"/>
          <w:szCs w:val="32"/>
          <w:highlight w:val="none"/>
          <w:lang w:val="zh-CN"/>
        </w:rPr>
        <w:t>元，增长</w:t>
      </w:r>
      <w:r>
        <w:rPr>
          <w:rFonts w:hint="eastAsia" w:ascii="仿宋_GB2312" w:hAnsi="宋体" w:eastAsia="仿宋_GB2312"/>
          <w:b w:val="0"/>
          <w:bCs w:val="0"/>
          <w:color w:val="auto"/>
          <w:kern w:val="10"/>
          <w:sz w:val="32"/>
          <w:szCs w:val="32"/>
          <w:highlight w:val="none"/>
          <w:lang w:val="en-US" w:eastAsia="zh-CN"/>
        </w:rPr>
        <w:t>12.8</w:t>
      </w:r>
      <w:r>
        <w:rPr>
          <w:rFonts w:hint="eastAsia" w:ascii="仿宋_GB2312" w:hAnsi="宋体" w:eastAsia="仿宋_GB2312"/>
          <w:b w:val="0"/>
          <w:bCs w:val="0"/>
          <w:color w:val="auto"/>
          <w:kern w:val="10"/>
          <w:sz w:val="32"/>
          <w:szCs w:val="32"/>
          <w:highlight w:val="none"/>
          <w:lang w:val="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ascii="仿宋_GB2312" w:hAnsi="宋体" w:eastAsia="仿宋_GB2312"/>
          <w:b w:val="0"/>
          <w:bCs w:val="0"/>
          <w:color w:val="auto"/>
          <w:kern w:val="10"/>
          <w:sz w:val="32"/>
          <w:szCs w:val="32"/>
          <w:highlight w:val="none"/>
          <w:lang w:val="zh-CN"/>
        </w:rPr>
      </w:pPr>
      <w:r>
        <w:rPr>
          <w:rFonts w:hint="eastAsia" w:ascii="仿宋_GB2312" w:hAnsi="宋体" w:eastAsia="仿宋_GB2312"/>
          <w:b w:val="0"/>
          <w:bCs w:val="0"/>
          <w:color w:val="auto"/>
          <w:kern w:val="10"/>
          <w:sz w:val="32"/>
          <w:szCs w:val="32"/>
          <w:highlight w:val="none"/>
          <w:lang w:val="zh-CN"/>
        </w:rPr>
        <w:t>限额以上单位商品零售额</w:t>
      </w:r>
      <w:r>
        <w:rPr>
          <w:rFonts w:hint="eastAsia" w:ascii="仿宋_GB2312" w:hAnsi="宋体" w:eastAsia="仿宋_GB2312"/>
          <w:b w:val="0"/>
          <w:bCs w:val="0"/>
          <w:color w:val="auto"/>
          <w:kern w:val="10"/>
          <w:sz w:val="32"/>
          <w:szCs w:val="32"/>
          <w:highlight w:val="none"/>
          <w:lang w:val="en-US" w:eastAsia="zh-CN"/>
        </w:rPr>
        <w:t>6089.39</w:t>
      </w:r>
      <w:r>
        <w:rPr>
          <w:rFonts w:hint="eastAsia" w:ascii="仿宋_GB2312" w:hAnsi="宋体" w:eastAsia="仿宋_GB2312"/>
          <w:b w:val="0"/>
          <w:bCs w:val="0"/>
          <w:color w:val="auto"/>
          <w:kern w:val="10"/>
          <w:sz w:val="32"/>
          <w:szCs w:val="32"/>
          <w:highlight w:val="none"/>
          <w:lang w:val="zh-CN"/>
        </w:rPr>
        <w:t>万元，比上年增长</w:t>
      </w:r>
      <w:r>
        <w:rPr>
          <w:rFonts w:hint="eastAsia" w:ascii="仿宋_GB2312" w:hAnsi="宋体" w:eastAsia="仿宋_GB2312"/>
          <w:b w:val="0"/>
          <w:bCs w:val="0"/>
          <w:color w:val="auto"/>
          <w:kern w:val="10"/>
          <w:sz w:val="32"/>
          <w:szCs w:val="32"/>
          <w:highlight w:val="none"/>
          <w:lang w:val="en-US" w:eastAsia="zh-CN"/>
        </w:rPr>
        <w:t>25.6</w:t>
      </w:r>
      <w:r>
        <w:rPr>
          <w:rFonts w:hint="eastAsia" w:ascii="仿宋_GB2312" w:hAnsi="宋体" w:eastAsia="仿宋_GB2312"/>
          <w:b w:val="0"/>
          <w:bCs w:val="0"/>
          <w:color w:val="auto"/>
          <w:kern w:val="10"/>
          <w:sz w:val="32"/>
          <w:szCs w:val="32"/>
          <w:highlight w:val="none"/>
          <w:lang w:val="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七、财政和金融</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highlight w:val="none"/>
          <w:shd w:val="clear" w:color="auto" w:fill="FFFFFF"/>
        </w:rPr>
      </w:pPr>
      <w:r>
        <w:rPr>
          <w:rFonts w:hint="eastAsia" w:ascii="仿宋_GB2312" w:hAnsi="宋体" w:eastAsia="仿宋_GB2312" w:cs="仿宋_GB2312"/>
          <w:color w:val="auto"/>
          <w:kern w:val="0"/>
          <w:sz w:val="32"/>
          <w:szCs w:val="32"/>
          <w:highlight w:val="none"/>
          <w:shd w:val="clear" w:color="auto" w:fill="FFFFFF"/>
        </w:rPr>
        <w:t>全年地方财政收入</w:t>
      </w:r>
      <w:r>
        <w:rPr>
          <w:rFonts w:hint="eastAsia" w:ascii="仿宋_GB2312" w:hAnsi="宋体" w:eastAsia="仿宋_GB2312" w:cs="仿宋_GB2312"/>
          <w:color w:val="auto"/>
          <w:kern w:val="0"/>
          <w:sz w:val="32"/>
          <w:szCs w:val="32"/>
          <w:highlight w:val="none"/>
          <w:shd w:val="clear" w:color="auto" w:fill="FFFFFF"/>
          <w:lang w:eastAsia="zh-CN"/>
        </w:rPr>
        <w:t>完成</w:t>
      </w:r>
      <w:r>
        <w:rPr>
          <w:rFonts w:hint="eastAsia" w:ascii="仿宋_GB2312" w:hAnsi="宋体" w:eastAsia="仿宋_GB2312" w:cs="仿宋_GB2312"/>
          <w:color w:val="auto"/>
          <w:kern w:val="0"/>
          <w:sz w:val="32"/>
          <w:szCs w:val="32"/>
          <w:highlight w:val="none"/>
          <w:shd w:val="clear" w:color="auto" w:fill="FFFFFF"/>
          <w:lang w:val="en-US" w:eastAsia="zh-CN"/>
        </w:rPr>
        <w:t>23023</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，增收</w:t>
      </w:r>
      <w:r>
        <w:rPr>
          <w:rFonts w:hint="eastAsia" w:ascii="仿宋_GB2312" w:hAnsi="宋体" w:eastAsia="仿宋_GB2312" w:cs="仿宋_GB2312"/>
          <w:color w:val="auto"/>
          <w:kern w:val="0"/>
          <w:sz w:val="32"/>
          <w:szCs w:val="32"/>
          <w:highlight w:val="none"/>
          <w:shd w:val="clear" w:color="auto" w:fill="FFFFFF"/>
          <w:lang w:val="en-US" w:eastAsia="zh-CN"/>
        </w:rPr>
        <w:t>2837万元，比上年</w:t>
      </w:r>
      <w:r>
        <w:rPr>
          <w:rFonts w:hint="eastAsia" w:ascii="仿宋_GB2312" w:hAnsi="宋体" w:eastAsia="仿宋_GB2312" w:cs="仿宋_GB2312"/>
          <w:color w:val="auto"/>
          <w:kern w:val="0"/>
          <w:sz w:val="32"/>
          <w:szCs w:val="32"/>
          <w:highlight w:val="none"/>
          <w:shd w:val="clear" w:color="auto" w:fill="FFFFFF"/>
        </w:rPr>
        <w:t>增长</w:t>
      </w:r>
      <w:r>
        <w:rPr>
          <w:rFonts w:hint="eastAsia" w:ascii="仿宋_GB2312" w:hAnsi="宋体" w:eastAsia="仿宋_GB2312" w:cs="仿宋_GB2312"/>
          <w:color w:val="auto"/>
          <w:kern w:val="0"/>
          <w:sz w:val="32"/>
          <w:szCs w:val="32"/>
          <w:highlight w:val="none"/>
          <w:shd w:val="clear" w:color="auto" w:fill="FFFFFF"/>
          <w:lang w:val="en-US" w:eastAsia="zh-CN"/>
        </w:rPr>
        <w:t>14.1</w:t>
      </w:r>
      <w:r>
        <w:rPr>
          <w:rFonts w:hint="eastAsia" w:ascii="仿宋_GB2312" w:hAnsi="宋体" w:eastAsia="仿宋_GB2312" w:cs="仿宋_GB2312"/>
          <w:color w:val="auto"/>
          <w:kern w:val="0"/>
          <w:sz w:val="32"/>
          <w:szCs w:val="32"/>
          <w:highlight w:val="none"/>
          <w:shd w:val="clear" w:color="auto" w:fill="FFFFFF"/>
        </w:rPr>
        <w:t>%，其中：</w:t>
      </w:r>
      <w:r>
        <w:rPr>
          <w:rFonts w:hint="eastAsia" w:ascii="仿宋_GB2312" w:hAnsi="宋体" w:eastAsia="仿宋_GB2312" w:cs="仿宋_GB2312"/>
          <w:color w:val="auto"/>
          <w:kern w:val="0"/>
          <w:sz w:val="32"/>
          <w:szCs w:val="32"/>
          <w:highlight w:val="none"/>
          <w:shd w:val="clear" w:color="auto" w:fill="FFFFFF"/>
          <w:lang w:eastAsia="zh-CN"/>
        </w:rPr>
        <w:t>一般</w:t>
      </w:r>
      <w:r>
        <w:rPr>
          <w:rFonts w:hint="eastAsia" w:ascii="仿宋_GB2312" w:hAnsi="宋体" w:eastAsia="仿宋_GB2312" w:cs="仿宋_GB2312"/>
          <w:color w:val="auto"/>
          <w:kern w:val="0"/>
          <w:sz w:val="32"/>
          <w:szCs w:val="32"/>
          <w:highlight w:val="none"/>
          <w:shd w:val="clear" w:color="auto" w:fill="FFFFFF"/>
        </w:rPr>
        <w:t>公共预算收入</w:t>
      </w:r>
      <w:r>
        <w:rPr>
          <w:rFonts w:hint="eastAsia" w:ascii="仿宋_GB2312" w:hAnsi="宋体" w:eastAsia="仿宋_GB2312" w:cs="仿宋_GB2312"/>
          <w:color w:val="auto"/>
          <w:kern w:val="0"/>
          <w:sz w:val="32"/>
          <w:szCs w:val="32"/>
          <w:highlight w:val="none"/>
          <w:shd w:val="clear" w:color="auto" w:fill="FFFFFF"/>
          <w:lang w:val="en-US" w:eastAsia="zh-CN"/>
        </w:rPr>
        <w:t>13249</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增收</w:t>
      </w:r>
      <w:r>
        <w:rPr>
          <w:rFonts w:hint="eastAsia" w:ascii="仿宋_GB2312" w:hAnsi="宋体" w:eastAsia="仿宋_GB2312" w:cs="仿宋_GB2312"/>
          <w:color w:val="auto"/>
          <w:kern w:val="0"/>
          <w:sz w:val="32"/>
          <w:szCs w:val="32"/>
          <w:highlight w:val="none"/>
          <w:shd w:val="clear" w:color="auto" w:fill="FFFFFF"/>
          <w:lang w:val="en-US" w:eastAsia="zh-CN"/>
        </w:rPr>
        <w:t>3151万元，</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31.2</w:t>
      </w:r>
      <w:r>
        <w:rPr>
          <w:rFonts w:hint="eastAsia" w:ascii="仿宋_GB2312" w:hAnsi="宋体" w:eastAsia="仿宋_GB2312" w:cs="仿宋_GB2312"/>
          <w:color w:val="auto"/>
          <w:kern w:val="0"/>
          <w:sz w:val="32"/>
          <w:szCs w:val="32"/>
          <w:highlight w:val="none"/>
          <w:shd w:val="clear" w:color="auto" w:fill="FFFFFF"/>
        </w:rPr>
        <w:t>%</w:t>
      </w:r>
      <w:r>
        <w:rPr>
          <w:rFonts w:hint="eastAsia" w:ascii="仿宋_GB2312" w:hAnsi="宋体" w:eastAsia="仿宋_GB2312" w:cs="仿宋_GB2312"/>
          <w:color w:val="auto"/>
          <w:kern w:val="0"/>
          <w:sz w:val="32"/>
          <w:szCs w:val="32"/>
          <w:highlight w:val="none"/>
          <w:shd w:val="clear" w:color="auto" w:fill="FFFFFF"/>
          <w:lang w:eastAsia="zh-CN"/>
        </w:rPr>
        <w:t>；政府性</w:t>
      </w:r>
      <w:r>
        <w:rPr>
          <w:rFonts w:hint="eastAsia" w:ascii="仿宋_GB2312" w:hAnsi="宋体" w:eastAsia="仿宋_GB2312" w:cs="仿宋_GB2312"/>
          <w:color w:val="auto"/>
          <w:kern w:val="0"/>
          <w:sz w:val="32"/>
          <w:szCs w:val="32"/>
          <w:highlight w:val="none"/>
          <w:shd w:val="clear" w:color="auto" w:fill="FFFFFF"/>
        </w:rPr>
        <w:t>基金预算收入</w:t>
      </w:r>
      <w:r>
        <w:rPr>
          <w:rFonts w:hint="eastAsia" w:ascii="仿宋_GB2312" w:hAnsi="宋体" w:eastAsia="仿宋_GB2312" w:cs="仿宋_GB2312"/>
          <w:color w:val="auto"/>
          <w:kern w:val="0"/>
          <w:sz w:val="32"/>
          <w:szCs w:val="32"/>
          <w:highlight w:val="none"/>
          <w:shd w:val="clear" w:color="auto" w:fill="FFFFFF"/>
          <w:lang w:eastAsia="zh-CN"/>
        </w:rPr>
        <w:t>完成</w:t>
      </w:r>
      <w:r>
        <w:rPr>
          <w:rFonts w:hint="eastAsia" w:ascii="仿宋_GB2312" w:hAnsi="宋体" w:eastAsia="仿宋_GB2312" w:cs="仿宋_GB2312"/>
          <w:color w:val="auto"/>
          <w:kern w:val="0"/>
          <w:sz w:val="32"/>
          <w:szCs w:val="32"/>
          <w:highlight w:val="none"/>
          <w:shd w:val="clear" w:color="auto" w:fill="FFFFFF"/>
          <w:lang w:val="en-US" w:eastAsia="zh-CN"/>
        </w:rPr>
        <w:t>9774</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同比减收</w:t>
      </w:r>
      <w:r>
        <w:rPr>
          <w:rFonts w:hint="eastAsia" w:ascii="仿宋_GB2312" w:hAnsi="宋体" w:eastAsia="仿宋_GB2312" w:cs="仿宋_GB2312"/>
          <w:color w:val="auto"/>
          <w:kern w:val="0"/>
          <w:sz w:val="32"/>
          <w:szCs w:val="32"/>
          <w:highlight w:val="none"/>
          <w:shd w:val="clear" w:color="auto" w:fill="FFFFFF"/>
          <w:lang w:val="en-US" w:eastAsia="zh-CN"/>
        </w:rPr>
        <w:t>314万元，减少3.1</w:t>
      </w:r>
      <w:r>
        <w:rPr>
          <w:rFonts w:hint="eastAsia" w:ascii="仿宋_GB2312" w:hAnsi="宋体" w:eastAsia="仿宋_GB2312" w:cs="仿宋_GB2312"/>
          <w:color w:val="auto"/>
          <w:kern w:val="0"/>
          <w:sz w:val="32"/>
          <w:szCs w:val="32"/>
          <w:highlight w:val="none"/>
          <w:shd w:val="clear" w:color="auto" w:fill="FFFFFF"/>
        </w:rPr>
        <w:t>%</w:t>
      </w:r>
      <w:r>
        <w:rPr>
          <w:rFonts w:hint="eastAsia" w:ascii="仿宋_GB2312" w:hAnsi="宋体" w:eastAsia="仿宋_GB2312" w:cs="仿宋_GB2312"/>
          <w:color w:val="auto"/>
          <w:kern w:val="0"/>
          <w:sz w:val="32"/>
          <w:szCs w:val="32"/>
          <w:highlight w:val="none"/>
          <w:shd w:val="clear" w:color="auto" w:fill="FFFFFF"/>
          <w:lang w:eastAsia="zh-CN"/>
        </w:rPr>
        <w:t>。</w:t>
      </w:r>
      <w:r>
        <w:rPr>
          <w:rFonts w:hint="eastAsia" w:ascii="仿宋_GB2312" w:hAnsi="宋体" w:eastAsia="仿宋_GB2312" w:cs="仿宋_GB2312"/>
          <w:color w:val="auto"/>
          <w:kern w:val="0"/>
          <w:sz w:val="32"/>
          <w:szCs w:val="32"/>
          <w:highlight w:val="none"/>
          <w:shd w:val="clear" w:color="auto" w:fill="FFFFFF"/>
        </w:rPr>
        <w:t>地方财政支出</w:t>
      </w:r>
      <w:r>
        <w:rPr>
          <w:rFonts w:hint="eastAsia" w:ascii="仿宋_GB2312" w:hAnsi="宋体" w:eastAsia="仿宋_GB2312" w:cs="仿宋_GB2312"/>
          <w:color w:val="auto"/>
          <w:kern w:val="0"/>
          <w:sz w:val="32"/>
          <w:szCs w:val="32"/>
          <w:highlight w:val="none"/>
          <w:shd w:val="clear" w:color="auto" w:fill="FFFFFF"/>
          <w:lang w:val="en-US" w:eastAsia="zh-CN"/>
        </w:rPr>
        <w:t>200586</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增支</w:t>
      </w:r>
      <w:r>
        <w:rPr>
          <w:rFonts w:hint="eastAsia" w:ascii="仿宋_GB2312" w:hAnsi="宋体" w:eastAsia="仿宋_GB2312" w:cs="仿宋_GB2312"/>
          <w:color w:val="auto"/>
          <w:kern w:val="0"/>
          <w:sz w:val="32"/>
          <w:szCs w:val="32"/>
          <w:highlight w:val="none"/>
          <w:shd w:val="clear" w:color="auto" w:fill="FFFFFF"/>
          <w:lang w:val="en-US" w:eastAsia="zh-CN"/>
        </w:rPr>
        <w:t>26503万元，比上年</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15.2</w:t>
      </w:r>
      <w:r>
        <w:rPr>
          <w:rFonts w:hint="eastAsia" w:ascii="仿宋_GB2312" w:hAnsi="宋体" w:eastAsia="仿宋_GB2312" w:cs="仿宋_GB2312"/>
          <w:color w:val="auto"/>
          <w:kern w:val="0"/>
          <w:sz w:val="32"/>
          <w:szCs w:val="32"/>
          <w:highlight w:val="none"/>
          <w:shd w:val="clear" w:color="auto" w:fill="FFFFFF"/>
        </w:rPr>
        <w:t>%，其中：</w:t>
      </w:r>
      <w:r>
        <w:rPr>
          <w:rFonts w:hint="eastAsia" w:ascii="仿宋_GB2312" w:hAnsi="宋体" w:eastAsia="仿宋_GB2312" w:cs="仿宋_GB2312"/>
          <w:color w:val="auto"/>
          <w:kern w:val="0"/>
          <w:sz w:val="32"/>
          <w:szCs w:val="32"/>
          <w:highlight w:val="none"/>
          <w:shd w:val="clear" w:color="auto" w:fill="FFFFFF"/>
          <w:lang w:eastAsia="zh-CN"/>
        </w:rPr>
        <w:t>一般</w:t>
      </w:r>
      <w:r>
        <w:rPr>
          <w:rFonts w:hint="eastAsia" w:ascii="仿宋_GB2312" w:hAnsi="宋体" w:eastAsia="仿宋_GB2312" w:cs="仿宋_GB2312"/>
          <w:color w:val="auto"/>
          <w:kern w:val="0"/>
          <w:sz w:val="32"/>
          <w:szCs w:val="32"/>
          <w:highlight w:val="none"/>
          <w:shd w:val="clear" w:color="auto" w:fill="FFFFFF"/>
        </w:rPr>
        <w:t>公共预算支出</w:t>
      </w:r>
      <w:r>
        <w:rPr>
          <w:rFonts w:hint="eastAsia" w:ascii="仿宋_GB2312" w:hAnsi="宋体" w:eastAsia="仿宋_GB2312" w:cs="仿宋_GB2312"/>
          <w:color w:val="auto"/>
          <w:kern w:val="0"/>
          <w:sz w:val="32"/>
          <w:szCs w:val="32"/>
          <w:highlight w:val="none"/>
          <w:shd w:val="clear" w:color="auto" w:fill="FFFFFF"/>
          <w:lang w:val="en-US" w:eastAsia="zh-CN"/>
        </w:rPr>
        <w:t>164441</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增支</w:t>
      </w:r>
      <w:r>
        <w:rPr>
          <w:rFonts w:hint="eastAsia" w:ascii="仿宋_GB2312" w:hAnsi="宋体" w:eastAsia="仿宋_GB2312" w:cs="仿宋_GB2312"/>
          <w:color w:val="auto"/>
          <w:kern w:val="0"/>
          <w:sz w:val="32"/>
          <w:szCs w:val="32"/>
          <w:highlight w:val="none"/>
          <w:shd w:val="clear" w:color="auto" w:fill="FFFFFF"/>
          <w:lang w:val="en-US" w:eastAsia="zh-CN"/>
        </w:rPr>
        <w:t>6471万元，</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4.1</w:t>
      </w:r>
      <w:r>
        <w:rPr>
          <w:rFonts w:hint="eastAsia" w:ascii="仿宋_GB2312" w:hAnsi="宋体" w:eastAsia="仿宋_GB2312" w:cs="仿宋_GB2312"/>
          <w:color w:val="auto"/>
          <w:kern w:val="0"/>
          <w:sz w:val="32"/>
          <w:szCs w:val="32"/>
          <w:highlight w:val="none"/>
          <w:shd w:val="clear" w:color="auto" w:fill="FFFFFF"/>
        </w:rPr>
        <w:t>%</w:t>
      </w:r>
      <w:r>
        <w:rPr>
          <w:rFonts w:hint="eastAsia" w:ascii="仿宋_GB2312" w:hAnsi="宋体" w:eastAsia="仿宋_GB2312" w:cs="仿宋_GB2312"/>
          <w:color w:val="auto"/>
          <w:kern w:val="0"/>
          <w:sz w:val="32"/>
          <w:szCs w:val="32"/>
          <w:highlight w:val="none"/>
          <w:shd w:val="clear" w:color="auto" w:fill="FFFFFF"/>
          <w:lang w:eastAsia="zh-CN"/>
        </w:rPr>
        <w:t>；政府性</w:t>
      </w:r>
      <w:r>
        <w:rPr>
          <w:rFonts w:hint="eastAsia" w:ascii="仿宋_GB2312" w:hAnsi="宋体" w:eastAsia="仿宋_GB2312" w:cs="仿宋_GB2312"/>
          <w:color w:val="auto"/>
          <w:kern w:val="0"/>
          <w:sz w:val="32"/>
          <w:szCs w:val="32"/>
          <w:highlight w:val="none"/>
          <w:shd w:val="clear" w:color="auto" w:fill="FFFFFF"/>
        </w:rPr>
        <w:t>基金支出</w:t>
      </w:r>
      <w:r>
        <w:rPr>
          <w:rFonts w:hint="eastAsia" w:ascii="仿宋_GB2312" w:hAnsi="宋体" w:eastAsia="仿宋_GB2312" w:cs="仿宋_GB2312"/>
          <w:color w:val="auto"/>
          <w:kern w:val="0"/>
          <w:sz w:val="32"/>
          <w:szCs w:val="32"/>
          <w:highlight w:val="none"/>
          <w:shd w:val="clear" w:color="auto" w:fill="FFFFFF"/>
          <w:lang w:eastAsia="zh-CN"/>
        </w:rPr>
        <w:t>完成</w:t>
      </w:r>
      <w:r>
        <w:rPr>
          <w:rFonts w:hint="eastAsia" w:ascii="仿宋_GB2312" w:hAnsi="宋体" w:eastAsia="仿宋_GB2312" w:cs="仿宋_GB2312"/>
          <w:color w:val="auto"/>
          <w:kern w:val="0"/>
          <w:sz w:val="32"/>
          <w:szCs w:val="32"/>
          <w:highlight w:val="none"/>
          <w:shd w:val="clear" w:color="auto" w:fill="FFFFFF"/>
          <w:lang w:val="en-US" w:eastAsia="zh-CN"/>
        </w:rPr>
        <w:t>36145</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增支</w:t>
      </w:r>
      <w:r>
        <w:rPr>
          <w:rFonts w:hint="eastAsia" w:ascii="仿宋_GB2312" w:hAnsi="宋体" w:eastAsia="仿宋_GB2312" w:cs="仿宋_GB2312"/>
          <w:color w:val="auto"/>
          <w:kern w:val="0"/>
          <w:sz w:val="32"/>
          <w:szCs w:val="32"/>
          <w:highlight w:val="none"/>
          <w:shd w:val="clear" w:color="auto" w:fill="FFFFFF"/>
          <w:lang w:val="en-US" w:eastAsia="zh-CN"/>
        </w:rPr>
        <w:t>20032万元，</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124.3%</w:t>
      </w:r>
      <w:r>
        <w:rPr>
          <w:rFonts w:hint="eastAsia" w:ascii="仿宋_GB2312" w:hAnsi="宋体" w:eastAsia="仿宋_GB2312" w:cs="仿宋_GB2312"/>
          <w:color w:val="auto"/>
          <w:kern w:val="0"/>
          <w:sz w:val="32"/>
          <w:szCs w:val="32"/>
          <w:highlight w:val="none"/>
          <w:shd w:val="clear" w:color="auto" w:fill="FFFFFF"/>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r>
        <w:rPr>
          <w:rFonts w:hint="eastAsia" w:ascii="宋体" w:hAnsi="宋体" w:eastAsia="宋体" w:cs="宋体"/>
          <w:b/>
          <w:bCs/>
          <w:color w:val="auto"/>
          <w:kern w:val="10"/>
          <w:sz w:val="21"/>
          <w:szCs w:val="21"/>
          <w:lang w:val="en-US" w:eastAsia="zh-CN" w:bidi="ar-SA"/>
        </w:rPr>
        <w:t>图</w:t>
      </w:r>
      <w:r>
        <w:rPr>
          <w:rFonts w:hint="eastAsia" w:ascii="宋体" w:hAnsi="宋体" w:cs="宋体"/>
          <w:b/>
          <w:bCs/>
          <w:color w:val="auto"/>
          <w:kern w:val="10"/>
          <w:sz w:val="21"/>
          <w:szCs w:val="21"/>
          <w:lang w:val="en-US" w:eastAsia="zh-CN" w:bidi="ar-SA"/>
        </w:rPr>
        <w:t>6</w:t>
      </w:r>
      <w:r>
        <w:rPr>
          <w:rFonts w:hint="eastAsia" w:ascii="宋体" w:hAnsi="宋体" w:eastAsia="宋体" w:cs="宋体"/>
          <w:b/>
          <w:bCs/>
          <w:color w:val="auto"/>
          <w:kern w:val="10"/>
          <w:sz w:val="21"/>
          <w:szCs w:val="21"/>
          <w:lang w:val="en-US" w:eastAsia="zh-CN" w:bidi="ar-SA"/>
        </w:rPr>
        <w:t> 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2023年全县一般公共预算收入</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rightChars="0" w:firstLine="422" w:firstLineChars="200"/>
        <w:jc w:val="both"/>
        <w:textAlignment w:val="auto"/>
        <w:outlineLvl w:val="0"/>
        <w:rPr>
          <w:rFonts w:hint="eastAsia" w:ascii="仿宋_GB2312" w:eastAsia="仿宋_GB2312"/>
          <w:color w:val="auto"/>
          <w:sz w:val="32"/>
          <w:szCs w:val="32"/>
          <w:highlight w:val="none"/>
          <w:lang w:val="en-US" w:eastAsia="zh-CN"/>
        </w:rPr>
      </w:pPr>
      <w:r>
        <w:rPr>
          <w:rFonts w:hint="eastAsia" w:ascii="宋体" w:hAnsi="宋体" w:eastAsia="宋体" w:cs="宋体"/>
          <w:b/>
          <w:bCs/>
          <w:color w:val="auto"/>
          <w:kern w:val="10"/>
          <w:sz w:val="21"/>
          <w:szCs w:val="21"/>
          <w:highlight w:val="none"/>
          <w:lang w:val="en-US" w:eastAsia="zh-CN" w:bidi="ar-SA"/>
        </w:rPr>
        <w:drawing>
          <wp:anchor distT="0" distB="0" distL="114300" distR="114300" simplePos="0" relativeHeight="251659264" behindDoc="0" locked="0" layoutInCell="1" allowOverlap="1">
            <wp:simplePos x="0" y="0"/>
            <wp:positionH relativeFrom="column">
              <wp:posOffset>758825</wp:posOffset>
            </wp:positionH>
            <wp:positionV relativeFrom="paragraph">
              <wp:posOffset>175895</wp:posOffset>
            </wp:positionV>
            <wp:extent cx="4234815" cy="2319020"/>
            <wp:effectExtent l="4445" t="4445" r="8890" b="1968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0"/>
        <w:rPr>
          <w:rFonts w:hint="eastAsia"/>
          <w:color w:val="auto"/>
          <w:highlight w:val="none"/>
          <w:lang w:eastAsia="zh-CN"/>
        </w:rPr>
      </w:pPr>
      <w:r>
        <w:rPr>
          <w:rFonts w:hint="eastAsia" w:ascii="仿宋_GB2312" w:eastAsia="仿宋_GB2312"/>
          <w:color w:val="auto"/>
          <w:sz w:val="32"/>
          <w:szCs w:val="32"/>
          <w:highlight w:val="none"/>
          <w:lang w:val="en-US" w:eastAsia="zh-CN"/>
        </w:rPr>
        <w:t>全县金融机构存款余额</w:t>
      </w:r>
      <w:r>
        <w:rPr>
          <w:rFonts w:hint="eastAsia" w:ascii="仿宋_GB2312"/>
          <w:color w:val="auto"/>
          <w:sz w:val="32"/>
          <w:szCs w:val="32"/>
          <w:highlight w:val="none"/>
          <w:lang w:val="en-US" w:eastAsia="zh-CN"/>
        </w:rPr>
        <w:t>36.76</w:t>
      </w:r>
      <w:r>
        <w:rPr>
          <w:rFonts w:hint="eastAsia" w:ascii="仿宋_GB2312" w:eastAsia="仿宋_GB2312"/>
          <w:color w:val="auto"/>
          <w:sz w:val="32"/>
          <w:szCs w:val="32"/>
          <w:highlight w:val="none"/>
          <w:lang w:val="en-US" w:eastAsia="zh-CN"/>
        </w:rPr>
        <w:t>亿元，贷款余额27.</w:t>
      </w:r>
      <w:r>
        <w:rPr>
          <w:rFonts w:hint="eastAsia" w:ascii="仿宋_GB2312"/>
          <w:color w:val="auto"/>
          <w:sz w:val="32"/>
          <w:szCs w:val="32"/>
          <w:highlight w:val="none"/>
          <w:lang w:val="en-US" w:eastAsia="zh-CN"/>
        </w:rPr>
        <w:t>24</w:t>
      </w:r>
      <w:r>
        <w:rPr>
          <w:rFonts w:hint="eastAsia" w:ascii="仿宋_GB2312" w:eastAsia="仿宋_GB2312"/>
          <w:color w:val="auto"/>
          <w:sz w:val="32"/>
          <w:szCs w:val="32"/>
          <w:highlight w:val="none"/>
          <w:lang w:val="en-US" w:eastAsia="zh-CN"/>
        </w:rPr>
        <w:t>亿元，金融机构贷存比为</w:t>
      </w:r>
      <w:r>
        <w:rPr>
          <w:rFonts w:hint="eastAsia" w:ascii="仿宋_GB2312"/>
          <w:color w:val="auto"/>
          <w:sz w:val="32"/>
          <w:szCs w:val="32"/>
          <w:highlight w:val="none"/>
          <w:lang w:val="en-US" w:eastAsia="zh-CN"/>
        </w:rPr>
        <w:t>74.1</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outlineLvl w:val="0"/>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八、居民收入和社会保障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宋体" w:hAnsi="宋体" w:eastAsia="宋体" w:cs="宋体"/>
          <w:b/>
          <w:bCs/>
          <w:color w:val="auto"/>
          <w:kern w:val="10"/>
          <w:sz w:val="21"/>
          <w:szCs w:val="21"/>
          <w:highlight w:val="none"/>
          <w:lang w:val="en-US" w:eastAsia="zh-CN" w:bidi="ar-SA"/>
        </w:rPr>
      </w:pPr>
      <w:r>
        <w:rPr>
          <w:rFonts w:hint="eastAsia" w:ascii="仿宋_GB2312" w:hAnsi="宋体" w:eastAsia="仿宋_GB2312" w:cs="仿宋_GB2312"/>
          <w:color w:val="auto"/>
          <w:kern w:val="0"/>
          <w:sz w:val="32"/>
          <w:szCs w:val="32"/>
          <w:highlight w:val="none"/>
          <w:shd w:val="clear" w:color="auto" w:fill="FFFFFF"/>
          <w:lang w:val="en-US" w:eastAsia="zh-CN"/>
        </w:rPr>
        <w:t>全年全县居民人均可支配收入25822元，比上年增长6.9%。其中：城镇居民人均可支配收入31749元，比上年增长6.1%，增加1827元；农村居民人均可支配收入为20314元，比上年增长7.4%，增加1408元。</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仿宋_GB2312" w:hAnsi="宋体" w:eastAsia="仿宋_GB2312"/>
          <w:color w:val="auto"/>
          <w:kern w:val="10"/>
          <w:sz w:val="32"/>
          <w:lang w:eastAsia="zh-CN"/>
        </w:rPr>
      </w:pPr>
      <w:r>
        <w:rPr>
          <w:rFonts w:hint="eastAsia" w:ascii="宋体" w:hAnsi="宋体" w:eastAsia="宋体" w:cs="宋体"/>
          <w:b/>
          <w:bCs/>
          <w:color w:val="auto"/>
          <w:kern w:val="10"/>
          <w:sz w:val="21"/>
          <w:szCs w:val="21"/>
          <w:lang w:val="en-US" w:eastAsia="zh-CN" w:bidi="ar-SA"/>
        </w:rPr>
        <w:t>图7 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w:t>
      </w:r>
      <w:r>
        <w:rPr>
          <w:rFonts w:hint="eastAsia" w:ascii="宋体" w:hAnsi="宋体" w:cs="宋体"/>
          <w:b/>
          <w:bCs/>
          <w:color w:val="auto"/>
          <w:kern w:val="10"/>
          <w:sz w:val="21"/>
          <w:szCs w:val="21"/>
          <w:lang w:val="en-US" w:eastAsia="zh-CN" w:bidi="ar-SA"/>
        </w:rPr>
        <w:t>城镇</w:t>
      </w:r>
      <w:r>
        <w:rPr>
          <w:rFonts w:hint="eastAsia" w:ascii="宋体" w:hAnsi="宋体" w:eastAsia="宋体" w:cs="宋体"/>
          <w:b/>
          <w:bCs/>
          <w:color w:val="auto"/>
          <w:kern w:val="10"/>
          <w:sz w:val="21"/>
          <w:szCs w:val="21"/>
          <w:lang w:val="en-US" w:eastAsia="zh-CN" w:bidi="ar-SA"/>
        </w:rPr>
        <w:t>居民人均可支配收入及其增长速度</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r>
        <w:rPr>
          <w:color w:val="auto"/>
        </w:rPr>
        <w:drawing>
          <wp:anchor distT="0" distB="0" distL="114300" distR="114300" simplePos="0" relativeHeight="251665408" behindDoc="0" locked="0" layoutInCell="1" allowOverlap="1">
            <wp:simplePos x="0" y="0"/>
            <wp:positionH relativeFrom="column">
              <wp:posOffset>457200</wp:posOffset>
            </wp:positionH>
            <wp:positionV relativeFrom="paragraph">
              <wp:posOffset>248285</wp:posOffset>
            </wp:positionV>
            <wp:extent cx="4610735" cy="2449195"/>
            <wp:effectExtent l="4445" t="4445" r="13970" b="22860"/>
            <wp:wrapTopAndBottom/>
            <wp:docPr id="212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r>
        <w:rPr>
          <w:rFonts w:hint="eastAsia" w:ascii="宋体" w:hAnsi="宋体" w:eastAsia="宋体" w:cs="宋体"/>
          <w:b/>
          <w:bCs/>
          <w:color w:val="auto"/>
          <w:kern w:val="10"/>
          <w:sz w:val="21"/>
          <w:szCs w:val="21"/>
          <w:lang w:val="en-US" w:eastAsia="zh-CN" w:bidi="ar-SA"/>
        </w:rPr>
        <w:t xml:space="preserve">图8 </w:t>
      </w:r>
      <w:r>
        <w:rPr>
          <w:rFonts w:hint="eastAsia" w:ascii="宋体" w:hAnsi="宋体" w:cs="宋体"/>
          <w:b/>
          <w:bCs/>
          <w:color w:val="auto"/>
          <w:kern w:val="10"/>
          <w:sz w:val="21"/>
          <w:szCs w:val="21"/>
          <w:lang w:val="en-US" w:eastAsia="zh-CN" w:bidi="ar-SA"/>
        </w:rPr>
        <w:t xml:space="preserve"> </w:t>
      </w:r>
      <w:r>
        <w:rPr>
          <w:rFonts w:hint="eastAsia" w:ascii="宋体" w:hAnsi="宋体" w:eastAsia="宋体" w:cs="宋体"/>
          <w:b/>
          <w:bCs/>
          <w:color w:val="auto"/>
          <w:kern w:val="10"/>
          <w:sz w:val="21"/>
          <w:szCs w:val="21"/>
          <w:lang w:val="en-US" w:eastAsia="zh-CN" w:bidi="ar-SA"/>
        </w:rPr>
        <w:t>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2023年农村居民人均可支配收入及其增长速度</w:t>
      </w:r>
      <w:r>
        <w:rPr>
          <w:rFonts w:hint="eastAsia" w:ascii="宋体" w:hAnsi="宋体" w:eastAsia="宋体" w:cs="宋体"/>
          <w:b/>
          <w:bCs/>
          <w:color w:val="auto"/>
          <w:kern w:val="10"/>
          <w:sz w:val="21"/>
          <w:szCs w:val="21"/>
          <w:lang w:val="en-US" w:eastAsia="zh-CN" w:bidi="ar-SA"/>
        </w:rPr>
        <w:drawing>
          <wp:anchor distT="0" distB="0" distL="114300" distR="114300" simplePos="0" relativeHeight="251664384" behindDoc="0" locked="0" layoutInCell="1" allowOverlap="1">
            <wp:simplePos x="0" y="0"/>
            <wp:positionH relativeFrom="column">
              <wp:posOffset>608330</wp:posOffset>
            </wp:positionH>
            <wp:positionV relativeFrom="paragraph">
              <wp:posOffset>495935</wp:posOffset>
            </wp:positionV>
            <wp:extent cx="4542790" cy="2604770"/>
            <wp:effectExtent l="0" t="0" r="10160" b="5080"/>
            <wp:wrapTopAndBottom/>
            <wp:docPr id="21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olor w:val="auto"/>
          <w:kern w:val="10"/>
          <w:sz w:val="32"/>
          <w:lang w:val="en-US" w:eastAsia="zh-CN"/>
        </w:rPr>
      </w:pPr>
      <w:r>
        <w:rPr>
          <w:rFonts w:hint="eastAsia" w:ascii="仿宋_GB2312" w:hAnsi="宋体" w:eastAsia="仿宋_GB2312"/>
          <w:color w:val="auto"/>
          <w:kern w:val="10"/>
          <w:sz w:val="32"/>
          <w:lang w:eastAsia="zh-CN"/>
        </w:rPr>
        <w:t>全年</w:t>
      </w:r>
      <w:r>
        <w:rPr>
          <w:rFonts w:hint="eastAsia" w:ascii="仿宋_GB2312" w:hAnsi="宋体" w:eastAsia="仿宋_GB2312"/>
          <w:color w:val="auto"/>
          <w:kern w:val="10"/>
          <w:sz w:val="32"/>
        </w:rPr>
        <w:t>城镇新增就业</w:t>
      </w:r>
      <w:r>
        <w:rPr>
          <w:rFonts w:hint="eastAsia" w:ascii="仿宋_GB2312" w:hAnsi="宋体" w:eastAsia="仿宋_GB2312"/>
          <w:color w:val="auto"/>
          <w:kern w:val="10"/>
          <w:sz w:val="32"/>
          <w:lang w:val="en-US" w:eastAsia="zh-CN"/>
        </w:rPr>
        <w:t>1607</w:t>
      </w:r>
      <w:r>
        <w:rPr>
          <w:rFonts w:hint="eastAsia" w:ascii="仿宋_GB2312" w:hAnsi="宋体" w:eastAsia="仿宋_GB2312"/>
          <w:color w:val="auto"/>
          <w:kern w:val="10"/>
          <w:sz w:val="32"/>
        </w:rPr>
        <w:t>人，完成地区目标任务的</w:t>
      </w:r>
      <w:r>
        <w:rPr>
          <w:rFonts w:hint="eastAsia" w:ascii="仿宋_GB2312" w:hAnsi="宋体" w:eastAsia="仿宋_GB2312"/>
          <w:color w:val="auto"/>
          <w:kern w:val="10"/>
          <w:sz w:val="32"/>
          <w:lang w:val="en-US" w:eastAsia="zh-CN"/>
        </w:rPr>
        <w:t>103.68</w:t>
      </w:r>
      <w:r>
        <w:rPr>
          <w:rFonts w:hint="eastAsia" w:ascii="仿宋_GB2312" w:hAnsi="宋体" w:eastAsia="仿宋_GB2312"/>
          <w:color w:val="auto"/>
          <w:kern w:val="10"/>
          <w:sz w:val="32"/>
        </w:rPr>
        <w:t>%</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lang w:val="en-US" w:eastAsia="zh-CN"/>
        </w:rPr>
        <w:t>其中：</w:t>
      </w:r>
      <w:r>
        <w:rPr>
          <w:rFonts w:hint="eastAsia" w:ascii="仿宋_GB2312" w:hAnsi="宋体" w:eastAsia="仿宋_GB2312"/>
          <w:color w:val="auto"/>
          <w:kern w:val="10"/>
          <w:sz w:val="32"/>
        </w:rPr>
        <w:t>就业困难人员实现就业</w:t>
      </w:r>
      <w:r>
        <w:rPr>
          <w:rFonts w:hint="eastAsia" w:ascii="仿宋_GB2312" w:hAnsi="宋体" w:eastAsia="仿宋_GB2312"/>
          <w:color w:val="auto"/>
          <w:kern w:val="10"/>
          <w:sz w:val="32"/>
          <w:lang w:val="en-US" w:eastAsia="zh-CN"/>
        </w:rPr>
        <w:t>171</w:t>
      </w:r>
      <w:r>
        <w:rPr>
          <w:rFonts w:hint="eastAsia" w:ascii="仿宋_GB2312" w:hAnsi="宋体" w:eastAsia="仿宋_GB2312"/>
          <w:color w:val="auto"/>
          <w:kern w:val="10"/>
          <w:sz w:val="32"/>
        </w:rPr>
        <w:t>人，</w:t>
      </w:r>
      <w:r>
        <w:rPr>
          <w:rFonts w:hint="eastAsia" w:ascii="仿宋_GB2312" w:hAnsi="宋体" w:eastAsia="仿宋_GB2312"/>
          <w:color w:val="auto"/>
          <w:kern w:val="10"/>
          <w:sz w:val="32"/>
          <w:lang w:eastAsia="zh-CN"/>
        </w:rPr>
        <w:t>登记失业人员就业</w:t>
      </w:r>
      <w:r>
        <w:rPr>
          <w:rFonts w:hint="eastAsia" w:ascii="仿宋_GB2312" w:hAnsi="宋体" w:eastAsia="仿宋_GB2312"/>
          <w:color w:val="auto"/>
          <w:kern w:val="10"/>
          <w:sz w:val="32"/>
          <w:lang w:val="en-US" w:eastAsia="zh-CN"/>
        </w:rPr>
        <w:t>357人。</w:t>
      </w:r>
      <w:r>
        <w:rPr>
          <w:rFonts w:hint="eastAsia" w:ascii="仿宋_GB2312" w:hAnsi="宋体" w:eastAsia="仿宋_GB2312"/>
          <w:color w:val="auto"/>
          <w:kern w:val="10"/>
          <w:sz w:val="32"/>
        </w:rPr>
        <w:t>城镇登记失业率控制在</w:t>
      </w:r>
      <w:r>
        <w:rPr>
          <w:rFonts w:hint="eastAsia" w:ascii="仿宋_GB2312" w:hAnsi="宋体" w:eastAsia="仿宋_GB2312"/>
          <w:color w:val="auto"/>
          <w:kern w:val="10"/>
          <w:sz w:val="32"/>
          <w:lang w:val="en-US" w:eastAsia="zh-CN"/>
        </w:rPr>
        <w:t>4.5</w:t>
      </w:r>
      <w:r>
        <w:rPr>
          <w:rFonts w:hint="eastAsia" w:ascii="仿宋_GB2312" w:hAnsi="宋体" w:eastAsia="仿宋_GB2312"/>
          <w:color w:val="auto"/>
          <w:kern w:val="10"/>
          <w:sz w:val="32"/>
        </w:rPr>
        <w:t>%以内</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农村富余劳动力转移就业</w:t>
      </w:r>
      <w:r>
        <w:rPr>
          <w:rFonts w:hint="eastAsia" w:ascii="仿宋_GB2312" w:hAnsi="宋体" w:eastAsia="仿宋_GB2312"/>
          <w:color w:val="auto"/>
          <w:kern w:val="10"/>
          <w:sz w:val="32"/>
          <w:lang w:val="en-US" w:eastAsia="zh-CN"/>
        </w:rPr>
        <w:t>7326</w:t>
      </w:r>
      <w:r>
        <w:rPr>
          <w:rFonts w:hint="eastAsia" w:ascii="仿宋_GB2312" w:hAnsi="宋体" w:eastAsia="仿宋_GB2312"/>
          <w:color w:val="auto"/>
          <w:kern w:val="10"/>
          <w:sz w:val="32"/>
        </w:rPr>
        <w:t>人次，完成地区目标任务的</w:t>
      </w:r>
      <w:r>
        <w:rPr>
          <w:rFonts w:hint="eastAsia" w:ascii="仿宋_GB2312" w:hAnsi="宋体" w:eastAsia="仿宋_GB2312"/>
          <w:color w:val="auto"/>
          <w:kern w:val="10"/>
          <w:sz w:val="32"/>
          <w:lang w:val="en-US" w:eastAsia="zh-CN"/>
        </w:rPr>
        <w:t>104.65</w:t>
      </w:r>
      <w:r>
        <w:rPr>
          <w:rFonts w:hint="eastAsia" w:ascii="仿宋_GB2312" w:hAnsi="宋体" w:eastAsia="仿宋_GB2312"/>
          <w:color w:val="auto"/>
          <w:kern w:val="10"/>
          <w:sz w:val="32"/>
        </w:rPr>
        <w:t>%</w:t>
      </w:r>
      <w:r>
        <w:rPr>
          <w:rFonts w:hint="eastAsia" w:ascii="仿宋_GB2312" w:hAnsi="宋体" w:eastAsia="仿宋_GB2312"/>
          <w:color w:val="auto"/>
          <w:kern w:val="10"/>
          <w:sz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仿宋_GB2312" w:eastAsia="仿宋_GB2312" w:cs="仿宋_GB2312"/>
          <w:b w:val="0"/>
          <w:bCs w:val="0"/>
          <w:color w:val="auto"/>
          <w:kern w:val="10"/>
          <w:sz w:val="32"/>
          <w:lang w:val="en-US" w:eastAsia="zh-CN"/>
        </w:rPr>
      </w:pPr>
      <w:r>
        <w:rPr>
          <w:rFonts w:hint="eastAsia" w:ascii="仿宋_GB2312" w:hAnsi="仿宋_GB2312" w:eastAsia="仿宋_GB2312" w:cs="仿宋_GB2312"/>
          <w:b w:val="0"/>
          <w:bCs w:val="0"/>
          <w:color w:val="auto"/>
          <w:kern w:val="10"/>
          <w:sz w:val="32"/>
          <w:lang w:eastAsia="zh-CN"/>
        </w:rPr>
        <w:t>年末基本养老保险参保</w:t>
      </w:r>
      <w:r>
        <w:rPr>
          <w:rFonts w:hint="eastAsia" w:ascii="仿宋_GB2312" w:hAnsi="仿宋_GB2312" w:eastAsia="仿宋_GB2312" w:cs="仿宋_GB2312"/>
          <w:b w:val="0"/>
          <w:bCs w:val="0"/>
          <w:color w:val="auto"/>
          <w:sz w:val="32"/>
          <w:szCs w:val="32"/>
          <w:highlight w:val="none"/>
          <w:lang w:val="en-US" w:eastAsia="zh-CN"/>
        </w:rPr>
        <w:t>34858</w:t>
      </w:r>
      <w:r>
        <w:rPr>
          <w:rFonts w:hint="eastAsia" w:ascii="仿宋_GB2312" w:hAnsi="仿宋_GB2312" w:eastAsia="仿宋_GB2312" w:cs="仿宋_GB2312"/>
          <w:b w:val="0"/>
          <w:bCs w:val="0"/>
          <w:color w:val="auto"/>
          <w:kern w:val="10"/>
          <w:sz w:val="32"/>
        </w:rPr>
        <w:t>人</w:t>
      </w:r>
      <w:r>
        <w:rPr>
          <w:rFonts w:hint="eastAsia" w:ascii="仿宋_GB2312" w:hAnsi="仿宋_GB2312" w:eastAsia="仿宋_GB2312" w:cs="仿宋_GB2312"/>
          <w:b w:val="0"/>
          <w:bCs w:val="0"/>
          <w:color w:val="auto"/>
          <w:kern w:val="10"/>
          <w:sz w:val="32"/>
          <w:lang w:eastAsia="zh-CN"/>
        </w:rPr>
        <w:t>，</w:t>
      </w:r>
      <w:r>
        <w:rPr>
          <w:rFonts w:hint="eastAsia" w:ascii="仿宋_GB2312" w:hAnsi="仿宋_GB2312" w:eastAsia="仿宋_GB2312" w:cs="仿宋_GB2312"/>
          <w:b w:val="0"/>
          <w:bCs w:val="0"/>
          <w:color w:val="auto"/>
          <w:kern w:val="10"/>
          <w:sz w:val="32"/>
        </w:rPr>
        <w:t>其中：</w:t>
      </w:r>
      <w:r>
        <w:rPr>
          <w:rFonts w:hint="eastAsia" w:ascii="仿宋_GB2312" w:hAnsi="仿宋_GB2312" w:eastAsia="仿宋_GB2312" w:cs="仿宋_GB2312"/>
          <w:b w:val="0"/>
          <w:bCs w:val="0"/>
          <w:color w:val="auto"/>
          <w:kern w:val="10"/>
          <w:sz w:val="32"/>
          <w:lang w:eastAsia="zh-CN"/>
        </w:rPr>
        <w:t>企业养老保险</w:t>
      </w:r>
      <w:r>
        <w:rPr>
          <w:rFonts w:hint="eastAsia" w:ascii="仿宋_GB2312" w:hAnsi="仿宋_GB2312" w:eastAsia="仿宋_GB2312" w:cs="仿宋_GB2312"/>
          <w:b w:val="0"/>
          <w:bCs w:val="0"/>
          <w:color w:val="auto"/>
          <w:kern w:val="10"/>
          <w:sz w:val="32"/>
          <w:lang w:val="en-US" w:eastAsia="zh-CN"/>
        </w:rPr>
        <w:t>参保</w:t>
      </w:r>
      <w:r>
        <w:rPr>
          <w:rFonts w:hint="eastAsia" w:ascii="仿宋_GB2312" w:hAnsi="仿宋_GB2312" w:eastAsia="仿宋_GB2312" w:cs="仿宋_GB2312"/>
          <w:b w:val="0"/>
          <w:bCs w:val="0"/>
          <w:color w:val="auto"/>
          <w:sz w:val="32"/>
          <w:szCs w:val="32"/>
          <w:highlight w:val="none"/>
          <w:lang w:val="en-US" w:eastAsia="zh-CN"/>
        </w:rPr>
        <w:t>8399</w:t>
      </w:r>
      <w:r>
        <w:rPr>
          <w:rFonts w:hint="eastAsia" w:ascii="仿宋_GB2312" w:hAnsi="仿宋_GB2312" w:eastAsia="仿宋_GB2312" w:cs="仿宋_GB2312"/>
          <w:b w:val="0"/>
          <w:bCs w:val="0"/>
          <w:color w:val="auto"/>
          <w:kern w:val="10"/>
          <w:sz w:val="32"/>
          <w:lang w:val="en-US" w:eastAsia="zh-CN"/>
        </w:rPr>
        <w:t>人，机关事业单位养老保险参保</w:t>
      </w:r>
      <w:r>
        <w:rPr>
          <w:rFonts w:hint="eastAsia" w:ascii="仿宋_GB2312" w:hAnsi="仿宋_GB2312" w:eastAsia="仿宋_GB2312" w:cs="仿宋_GB2312"/>
          <w:b w:val="0"/>
          <w:bCs w:val="0"/>
          <w:color w:val="auto"/>
          <w:sz w:val="32"/>
          <w:szCs w:val="32"/>
          <w:highlight w:val="none"/>
          <w:lang w:val="en-US" w:eastAsia="zh-CN"/>
        </w:rPr>
        <w:t>5859</w:t>
      </w:r>
      <w:r>
        <w:rPr>
          <w:rFonts w:hint="eastAsia" w:ascii="仿宋_GB2312" w:hAnsi="仿宋_GB2312" w:eastAsia="仿宋_GB2312" w:cs="仿宋_GB2312"/>
          <w:b w:val="0"/>
          <w:bCs w:val="0"/>
          <w:color w:val="auto"/>
          <w:kern w:val="10"/>
          <w:sz w:val="32"/>
          <w:lang w:val="en-US" w:eastAsia="zh-CN"/>
        </w:rPr>
        <w:t>人</w:t>
      </w:r>
      <w:r>
        <w:rPr>
          <w:rFonts w:hint="eastAsia" w:ascii="仿宋_GB2312" w:hAnsi="仿宋_GB2312" w:eastAsia="仿宋_GB2312" w:cs="仿宋_GB2312"/>
          <w:b w:val="0"/>
          <w:bCs w:val="0"/>
          <w:color w:val="auto"/>
          <w:kern w:val="10"/>
          <w:sz w:val="32"/>
        </w:rPr>
        <w:t>，</w:t>
      </w:r>
      <w:r>
        <w:rPr>
          <w:rFonts w:hint="eastAsia" w:ascii="仿宋_GB2312" w:hAnsi="仿宋_GB2312" w:eastAsia="仿宋_GB2312" w:cs="仿宋_GB2312"/>
          <w:b w:val="0"/>
          <w:bCs w:val="0"/>
          <w:color w:val="auto"/>
          <w:kern w:val="10"/>
          <w:sz w:val="32"/>
          <w:lang w:eastAsia="zh-CN"/>
        </w:rPr>
        <w:t>城乡居民</w:t>
      </w:r>
      <w:r>
        <w:rPr>
          <w:rFonts w:hint="eastAsia" w:ascii="仿宋_GB2312" w:hAnsi="仿宋_GB2312" w:eastAsia="仿宋_GB2312" w:cs="仿宋_GB2312"/>
          <w:b w:val="0"/>
          <w:bCs w:val="0"/>
          <w:color w:val="auto"/>
          <w:kern w:val="10"/>
          <w:sz w:val="32"/>
        </w:rPr>
        <w:t>养老保险</w:t>
      </w:r>
      <w:r>
        <w:rPr>
          <w:rFonts w:hint="eastAsia" w:ascii="仿宋_GB2312" w:hAnsi="仿宋_GB2312" w:eastAsia="仿宋_GB2312" w:cs="仿宋_GB2312"/>
          <w:b w:val="0"/>
          <w:bCs w:val="0"/>
          <w:color w:val="auto"/>
          <w:kern w:val="10"/>
          <w:sz w:val="32"/>
          <w:lang w:val="en-US" w:eastAsia="zh-CN"/>
        </w:rPr>
        <w:t>参保</w:t>
      </w:r>
      <w:r>
        <w:rPr>
          <w:rFonts w:hint="eastAsia" w:ascii="仿宋_GB2312" w:hAnsi="仿宋_GB2312" w:eastAsia="仿宋_GB2312" w:cs="仿宋_GB2312"/>
          <w:b w:val="0"/>
          <w:bCs w:val="0"/>
          <w:color w:val="auto"/>
          <w:sz w:val="32"/>
          <w:szCs w:val="32"/>
          <w:highlight w:val="none"/>
          <w:lang w:val="en-US" w:eastAsia="zh-CN"/>
        </w:rPr>
        <w:t>20600</w:t>
      </w:r>
      <w:r>
        <w:rPr>
          <w:rFonts w:hint="eastAsia" w:ascii="仿宋_GB2312" w:hAnsi="仿宋_GB2312" w:eastAsia="仿宋_GB2312" w:cs="仿宋_GB2312"/>
          <w:b w:val="0"/>
          <w:bCs w:val="0"/>
          <w:color w:val="auto"/>
          <w:kern w:val="10"/>
          <w:sz w:val="32"/>
          <w:lang w:val="en-US" w:eastAsia="zh-CN"/>
        </w:rPr>
        <w:t>人。</w:t>
      </w:r>
      <w:r>
        <w:rPr>
          <w:rFonts w:hint="eastAsia" w:ascii="仿宋_GB2312" w:hAnsi="仿宋_GB2312" w:eastAsia="仿宋_GB2312" w:cs="仿宋_GB2312"/>
          <w:b w:val="0"/>
          <w:bCs w:val="0"/>
          <w:color w:val="auto"/>
          <w:kern w:val="10"/>
          <w:sz w:val="32"/>
        </w:rPr>
        <w:t>失业保险参保</w:t>
      </w:r>
      <w:r>
        <w:rPr>
          <w:rFonts w:hint="eastAsia" w:ascii="仿宋_GB2312" w:hAnsi="仿宋_GB2312" w:eastAsia="仿宋_GB2312" w:cs="仿宋_GB2312"/>
          <w:b w:val="0"/>
          <w:bCs w:val="0"/>
          <w:color w:val="auto"/>
          <w:sz w:val="32"/>
          <w:szCs w:val="32"/>
          <w:highlight w:val="none"/>
          <w:lang w:val="en-US" w:eastAsia="zh-CN"/>
        </w:rPr>
        <w:t>4747</w:t>
      </w:r>
      <w:r>
        <w:rPr>
          <w:rFonts w:hint="eastAsia" w:ascii="仿宋_GB2312" w:hAnsi="仿宋_GB2312" w:eastAsia="仿宋_GB2312" w:cs="仿宋_GB2312"/>
          <w:b w:val="0"/>
          <w:bCs w:val="0"/>
          <w:color w:val="auto"/>
          <w:kern w:val="10"/>
          <w:sz w:val="32"/>
        </w:rPr>
        <w:t>人</w:t>
      </w:r>
      <w:r>
        <w:rPr>
          <w:rFonts w:hint="eastAsia" w:ascii="仿宋_GB2312" w:hAnsi="仿宋_GB2312" w:eastAsia="仿宋_GB2312" w:cs="仿宋_GB2312"/>
          <w:b w:val="0"/>
          <w:bCs w:val="0"/>
          <w:color w:val="auto"/>
          <w:kern w:val="10"/>
          <w:sz w:val="32"/>
          <w:lang w:eastAsia="zh-CN"/>
        </w:rPr>
        <w:t>。工伤保险参保</w:t>
      </w:r>
      <w:r>
        <w:rPr>
          <w:rFonts w:hint="eastAsia" w:ascii="仿宋_GB2312" w:hAnsi="仿宋_GB2312" w:eastAsia="仿宋_GB2312" w:cs="仿宋_GB2312"/>
          <w:b w:val="0"/>
          <w:bCs w:val="0"/>
          <w:color w:val="auto"/>
          <w:sz w:val="32"/>
          <w:szCs w:val="32"/>
          <w:highlight w:val="none"/>
          <w:lang w:val="en-US" w:eastAsia="zh-CN"/>
        </w:rPr>
        <w:t>6401</w:t>
      </w:r>
      <w:r>
        <w:rPr>
          <w:rFonts w:hint="eastAsia" w:ascii="仿宋_GB2312" w:hAnsi="仿宋_GB2312" w:eastAsia="仿宋_GB2312" w:cs="仿宋_GB2312"/>
          <w:b w:val="0"/>
          <w:bCs w:val="0"/>
          <w:color w:val="auto"/>
          <w:kern w:val="10"/>
          <w:sz w:val="32"/>
          <w:lang w:val="en-US" w:eastAsia="zh-CN"/>
        </w:rPr>
        <w:t>人。基本医疗保险参保46992人，其中：职工医疗保险参保9892人，城乡居民医疗保险参保37100人。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rPr>
        <w:t>年末共有养老服务机构</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个，拥有床位数</w:t>
      </w:r>
      <w:r>
        <w:rPr>
          <w:rFonts w:hint="eastAsia" w:ascii="仿宋_GB2312" w:hAnsi="仿宋_GB2312" w:eastAsia="仿宋_GB2312" w:cs="仿宋_GB2312"/>
          <w:b w:val="0"/>
          <w:bCs w:val="0"/>
          <w:color w:val="auto"/>
          <w:sz w:val="32"/>
          <w:szCs w:val="32"/>
          <w:lang w:val="en-US" w:eastAsia="zh-CN"/>
        </w:rPr>
        <w:t>273</w:t>
      </w:r>
      <w:r>
        <w:rPr>
          <w:rFonts w:hint="eastAsia" w:ascii="仿宋_GB2312" w:hAnsi="仿宋_GB2312" w:eastAsia="仿宋_GB2312" w:cs="仿宋_GB2312"/>
          <w:b w:val="0"/>
          <w:bCs w:val="0"/>
          <w:color w:val="auto"/>
          <w:sz w:val="32"/>
          <w:szCs w:val="32"/>
        </w:rPr>
        <w:t>张，供养老人</w:t>
      </w:r>
      <w:r>
        <w:rPr>
          <w:rFonts w:hint="eastAsia" w:ascii="仿宋_GB2312" w:hAnsi="仿宋_GB2312" w:eastAsia="仿宋_GB2312" w:cs="仿宋_GB2312"/>
          <w:b w:val="0"/>
          <w:bCs w:val="0"/>
          <w:color w:val="auto"/>
          <w:sz w:val="32"/>
          <w:szCs w:val="32"/>
          <w:lang w:val="en-US" w:eastAsia="zh-CN"/>
        </w:rPr>
        <w:t>48</w:t>
      </w:r>
      <w:r>
        <w:rPr>
          <w:rFonts w:hint="eastAsia" w:ascii="仿宋_GB2312" w:hAnsi="仿宋_GB2312" w:eastAsia="仿宋_GB2312" w:cs="仿宋_GB2312"/>
          <w:b w:val="0"/>
          <w:bCs w:val="0"/>
          <w:color w:val="auto"/>
          <w:sz w:val="32"/>
          <w:szCs w:val="32"/>
        </w:rPr>
        <w:t>人；共有儿童福利机构</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个，拥有床位数</w:t>
      </w:r>
      <w:r>
        <w:rPr>
          <w:rFonts w:hint="eastAsia" w:ascii="仿宋_GB2312" w:hAnsi="仿宋_GB2312" w:eastAsia="仿宋_GB2312" w:cs="仿宋_GB2312"/>
          <w:b w:val="0"/>
          <w:bCs w:val="0"/>
          <w:color w:val="auto"/>
          <w:sz w:val="32"/>
          <w:szCs w:val="32"/>
          <w:lang w:val="en-US" w:eastAsia="zh-CN"/>
        </w:rPr>
        <w:t>46</w:t>
      </w:r>
      <w:r>
        <w:rPr>
          <w:rFonts w:hint="eastAsia" w:ascii="仿宋_GB2312" w:hAnsi="仿宋_GB2312" w:eastAsia="仿宋_GB2312" w:cs="仿宋_GB2312"/>
          <w:b w:val="0"/>
          <w:bCs w:val="0"/>
          <w:color w:val="auto"/>
          <w:sz w:val="32"/>
          <w:szCs w:val="32"/>
        </w:rPr>
        <w:t>张，收养儿童</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kern w:val="10"/>
          <w:sz w:val="32"/>
          <w:szCs w:val="32"/>
        </w:rPr>
      </w:pPr>
      <w:r>
        <w:rPr>
          <w:rFonts w:hint="eastAsia" w:ascii="仿宋_GB2312" w:hAnsi="仿宋_GB2312" w:eastAsia="仿宋_GB2312" w:cs="仿宋_GB2312"/>
          <w:color w:val="auto"/>
          <w:kern w:val="10"/>
          <w:sz w:val="32"/>
          <w:szCs w:val="32"/>
        </w:rPr>
        <w:t>全年受理劳动</w:t>
      </w:r>
      <w:r>
        <w:rPr>
          <w:rFonts w:hint="eastAsia" w:ascii="仿宋_GB2312" w:hAnsi="仿宋_GB2312" w:eastAsia="仿宋_GB2312" w:cs="仿宋_GB2312"/>
          <w:color w:val="auto"/>
          <w:kern w:val="10"/>
          <w:sz w:val="32"/>
          <w:szCs w:val="32"/>
          <w:lang w:eastAsia="zh-CN"/>
        </w:rPr>
        <w:t>保障监察</w:t>
      </w:r>
      <w:r>
        <w:rPr>
          <w:rFonts w:hint="eastAsia" w:ascii="仿宋_GB2312" w:hAnsi="仿宋_GB2312" w:eastAsia="仿宋_GB2312" w:cs="仿宋_GB2312"/>
          <w:color w:val="auto"/>
          <w:kern w:val="10"/>
          <w:sz w:val="32"/>
          <w:szCs w:val="32"/>
        </w:rPr>
        <w:t>案件</w:t>
      </w:r>
      <w:r>
        <w:rPr>
          <w:rFonts w:hint="eastAsia" w:ascii="仿宋_GB2312" w:hAnsi="仿宋_GB2312" w:eastAsia="仿宋_GB2312" w:cs="仿宋_GB2312"/>
          <w:color w:val="auto"/>
          <w:kern w:val="10"/>
          <w:sz w:val="32"/>
          <w:szCs w:val="32"/>
          <w:lang w:val="en-US" w:eastAsia="zh-CN"/>
        </w:rPr>
        <w:t>87</w:t>
      </w:r>
      <w:r>
        <w:rPr>
          <w:rFonts w:hint="eastAsia" w:ascii="仿宋_GB2312" w:hAnsi="仿宋_GB2312" w:eastAsia="仿宋_GB2312" w:cs="仿宋_GB2312"/>
          <w:color w:val="auto"/>
          <w:kern w:val="10"/>
          <w:sz w:val="32"/>
          <w:szCs w:val="32"/>
        </w:rPr>
        <w:t>件，结案</w:t>
      </w:r>
      <w:r>
        <w:rPr>
          <w:rFonts w:hint="eastAsia" w:ascii="仿宋_GB2312" w:hAnsi="仿宋_GB2312" w:eastAsia="仿宋_GB2312" w:cs="仿宋_GB2312"/>
          <w:color w:val="auto"/>
          <w:kern w:val="10"/>
          <w:sz w:val="32"/>
          <w:szCs w:val="32"/>
          <w:lang w:val="en-US" w:eastAsia="zh-CN"/>
        </w:rPr>
        <w:t>87</w:t>
      </w:r>
      <w:r>
        <w:rPr>
          <w:rFonts w:hint="eastAsia" w:ascii="仿宋_GB2312" w:hAnsi="仿宋_GB2312" w:eastAsia="仿宋_GB2312" w:cs="仿宋_GB2312"/>
          <w:color w:val="auto"/>
          <w:kern w:val="10"/>
          <w:sz w:val="32"/>
          <w:szCs w:val="32"/>
        </w:rPr>
        <w:t>件，结案率</w:t>
      </w:r>
      <w:r>
        <w:rPr>
          <w:rFonts w:hint="eastAsia" w:ascii="仿宋_GB2312" w:hAnsi="仿宋_GB2312" w:eastAsia="仿宋_GB2312" w:cs="仿宋_GB2312"/>
          <w:color w:val="auto"/>
          <w:kern w:val="10"/>
          <w:sz w:val="32"/>
          <w:szCs w:val="32"/>
          <w:lang w:val="en-US" w:eastAsia="zh-CN"/>
        </w:rPr>
        <w:t>100</w:t>
      </w:r>
      <w:r>
        <w:rPr>
          <w:rFonts w:hint="eastAsia" w:ascii="仿宋_GB2312" w:hAnsi="仿宋_GB2312" w:eastAsia="仿宋_GB2312" w:cs="仿宋_GB2312"/>
          <w:color w:val="auto"/>
          <w:kern w:val="10"/>
          <w:sz w:val="32"/>
          <w:szCs w:val="32"/>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九、科学技术和教育</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eastAsia="zh-CN"/>
        </w:rPr>
        <w:t>年末自治区级工程技术研究中心</w:t>
      </w:r>
      <w:r>
        <w:rPr>
          <w:rFonts w:hint="eastAsia" w:ascii="仿宋_GB2312" w:hAnsi="宋体" w:eastAsia="仿宋_GB2312" w:cs="仿宋_GB2312"/>
          <w:color w:val="auto"/>
          <w:kern w:val="0"/>
          <w:sz w:val="32"/>
          <w:szCs w:val="32"/>
          <w:shd w:val="clear" w:color="auto" w:fill="FFFFFF"/>
          <w:lang w:val="en-US" w:eastAsia="zh-CN"/>
        </w:rPr>
        <w:t>1</w:t>
      </w:r>
      <w:r>
        <w:rPr>
          <w:rFonts w:hint="eastAsia" w:ascii="仿宋_GB2312" w:hAnsi="宋体" w:eastAsia="仿宋_GB2312" w:cs="仿宋_GB2312"/>
          <w:color w:val="auto"/>
          <w:kern w:val="0"/>
          <w:sz w:val="32"/>
          <w:szCs w:val="32"/>
          <w:shd w:val="clear" w:color="auto" w:fill="FFFFFF"/>
          <w:lang w:eastAsia="zh-CN"/>
        </w:rPr>
        <w:t>家、自治区级高新技术企业</w:t>
      </w:r>
      <w:r>
        <w:rPr>
          <w:rFonts w:hint="eastAsia" w:ascii="仿宋_GB2312" w:hAnsi="宋体" w:eastAsia="仿宋_GB2312" w:cs="仿宋_GB2312"/>
          <w:color w:val="auto"/>
          <w:kern w:val="0"/>
          <w:sz w:val="32"/>
          <w:szCs w:val="32"/>
          <w:shd w:val="clear" w:color="auto" w:fill="FFFFFF"/>
          <w:lang w:val="en-US" w:eastAsia="zh-CN"/>
        </w:rPr>
        <w:t>2</w:t>
      </w:r>
      <w:r>
        <w:rPr>
          <w:rFonts w:hint="eastAsia" w:ascii="仿宋_GB2312" w:hAnsi="宋体" w:eastAsia="仿宋_GB2312" w:cs="仿宋_GB2312"/>
          <w:color w:val="auto"/>
          <w:kern w:val="0"/>
          <w:sz w:val="32"/>
          <w:szCs w:val="32"/>
          <w:shd w:val="clear" w:color="auto" w:fill="FFFFFF"/>
          <w:lang w:eastAsia="zh-CN"/>
        </w:rPr>
        <w:t>家。</w:t>
      </w:r>
      <w:r>
        <w:rPr>
          <w:rFonts w:hint="eastAsia" w:ascii="仿宋_GB2312" w:hAnsi="宋体" w:eastAsia="仿宋_GB2312" w:cs="仿宋_GB2312"/>
          <w:color w:val="auto"/>
          <w:kern w:val="0"/>
          <w:sz w:val="32"/>
          <w:szCs w:val="32"/>
          <w:shd w:val="clear" w:color="auto" w:fill="FFFFFF"/>
          <w:lang w:val="en-US" w:eastAsia="zh-CN"/>
        </w:rPr>
        <w:t>授权专利0件。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eastAsia="zh-CN"/>
        </w:rPr>
        <w:t>全县拥有基本教育校（园）数</w:t>
      </w:r>
      <w:r>
        <w:rPr>
          <w:rFonts w:hint="eastAsia" w:ascii="仿宋_GB2312" w:hAnsi="宋体" w:eastAsia="仿宋_GB2312" w:cs="仿宋_GB2312"/>
          <w:color w:val="auto"/>
          <w:kern w:val="0"/>
          <w:sz w:val="32"/>
          <w:szCs w:val="32"/>
          <w:shd w:val="clear" w:color="auto" w:fill="FFFFFF"/>
          <w:lang w:val="en-US" w:eastAsia="zh-CN"/>
        </w:rPr>
        <w:t>32</w:t>
      </w:r>
      <w:r>
        <w:rPr>
          <w:rFonts w:hint="eastAsia" w:ascii="仿宋_GB2312" w:hAnsi="宋体" w:eastAsia="仿宋_GB2312" w:cs="仿宋_GB2312"/>
          <w:color w:val="auto"/>
          <w:kern w:val="0"/>
          <w:sz w:val="32"/>
          <w:szCs w:val="32"/>
          <w:shd w:val="clear" w:color="auto" w:fill="FFFFFF"/>
          <w:lang w:eastAsia="zh-CN"/>
        </w:rPr>
        <w:t>所，</w:t>
      </w:r>
      <w:r>
        <w:rPr>
          <w:rFonts w:hint="eastAsia" w:ascii="仿宋_GB2312" w:hAnsi="宋体" w:eastAsia="仿宋_GB2312" w:cs="仿宋_GB2312"/>
          <w:color w:val="auto"/>
          <w:kern w:val="0"/>
          <w:sz w:val="32"/>
          <w:szCs w:val="32"/>
          <w:shd w:val="clear" w:color="auto" w:fill="FFFFFF"/>
          <w:lang w:val="en-US" w:eastAsia="zh-CN"/>
        </w:rPr>
        <w:t>其中：</w:t>
      </w:r>
      <w:r>
        <w:rPr>
          <w:rFonts w:hint="eastAsia" w:ascii="仿宋_GB2312" w:hAnsi="宋体" w:eastAsia="仿宋_GB2312" w:cs="仿宋_GB2312"/>
          <w:color w:val="auto"/>
          <w:kern w:val="0"/>
          <w:sz w:val="32"/>
          <w:szCs w:val="32"/>
          <w:shd w:val="clear" w:color="auto" w:fill="FFFFFF"/>
          <w:lang w:eastAsia="zh-CN"/>
        </w:rPr>
        <w:t>幼儿园</w:t>
      </w:r>
      <w:r>
        <w:rPr>
          <w:rFonts w:hint="eastAsia" w:ascii="仿宋_GB2312" w:hAnsi="宋体" w:eastAsia="仿宋_GB2312" w:cs="仿宋_GB2312"/>
          <w:color w:val="auto"/>
          <w:kern w:val="0"/>
          <w:sz w:val="32"/>
          <w:szCs w:val="32"/>
          <w:shd w:val="clear" w:color="auto" w:fill="FFFFFF"/>
        </w:rPr>
        <w:t>1</w:t>
      </w:r>
      <w:r>
        <w:rPr>
          <w:rFonts w:hint="eastAsia" w:ascii="仿宋_GB2312" w:hAnsi="宋体" w:eastAsia="仿宋_GB2312" w:cs="仿宋_GB2312"/>
          <w:color w:val="auto"/>
          <w:kern w:val="0"/>
          <w:sz w:val="32"/>
          <w:szCs w:val="32"/>
          <w:shd w:val="clear" w:color="auto" w:fill="FFFFFF"/>
          <w:lang w:val="en-US" w:eastAsia="zh-CN"/>
        </w:rPr>
        <w:t>9</w:t>
      </w:r>
      <w:r>
        <w:rPr>
          <w:rFonts w:hint="eastAsia" w:ascii="仿宋_GB2312" w:hAnsi="宋体" w:eastAsia="仿宋_GB2312" w:cs="仿宋_GB2312"/>
          <w:color w:val="auto"/>
          <w:kern w:val="0"/>
          <w:sz w:val="32"/>
          <w:szCs w:val="32"/>
          <w:shd w:val="clear" w:color="auto" w:fill="FFFFFF"/>
        </w:rPr>
        <w:t>所，</w:t>
      </w:r>
      <w:r>
        <w:rPr>
          <w:rFonts w:hint="eastAsia" w:ascii="仿宋_GB2312" w:hAnsi="宋体" w:eastAsia="仿宋_GB2312" w:cs="仿宋_GB2312"/>
          <w:color w:val="auto"/>
          <w:kern w:val="0"/>
          <w:sz w:val="32"/>
          <w:szCs w:val="32"/>
          <w:shd w:val="clear" w:color="auto" w:fill="FFFFFF"/>
          <w:lang w:eastAsia="zh-CN"/>
        </w:rPr>
        <w:t>小学</w:t>
      </w:r>
      <w:r>
        <w:rPr>
          <w:rFonts w:hint="eastAsia" w:ascii="仿宋_GB2312" w:hAnsi="宋体" w:eastAsia="仿宋_GB2312" w:cs="仿宋_GB2312"/>
          <w:color w:val="auto"/>
          <w:kern w:val="0"/>
          <w:sz w:val="32"/>
          <w:szCs w:val="32"/>
          <w:shd w:val="clear" w:color="auto" w:fill="FFFFFF"/>
          <w:lang w:val="en-US" w:eastAsia="zh-CN"/>
        </w:rPr>
        <w:t>6</w:t>
      </w:r>
      <w:r>
        <w:rPr>
          <w:rFonts w:hint="eastAsia" w:ascii="仿宋_GB2312" w:hAnsi="宋体" w:eastAsia="仿宋_GB2312" w:cs="仿宋_GB2312"/>
          <w:color w:val="auto"/>
          <w:kern w:val="0"/>
          <w:sz w:val="32"/>
          <w:szCs w:val="32"/>
          <w:shd w:val="clear" w:color="auto" w:fill="FFFFFF"/>
        </w:rPr>
        <w:t>所，</w:t>
      </w:r>
      <w:r>
        <w:rPr>
          <w:rFonts w:hint="eastAsia" w:ascii="仿宋_GB2312" w:hAnsi="宋体" w:eastAsia="仿宋_GB2312" w:cs="仿宋_GB2312"/>
          <w:color w:val="auto"/>
          <w:kern w:val="0"/>
          <w:sz w:val="32"/>
          <w:szCs w:val="32"/>
          <w:shd w:val="clear" w:color="auto" w:fill="FFFFFF"/>
          <w:lang w:eastAsia="zh-CN"/>
        </w:rPr>
        <w:t>九年一贯制学校</w:t>
      </w:r>
      <w:r>
        <w:rPr>
          <w:rFonts w:hint="eastAsia" w:ascii="仿宋_GB2312" w:hAnsi="宋体" w:eastAsia="仿宋_GB2312" w:cs="仿宋_GB2312"/>
          <w:color w:val="auto"/>
          <w:kern w:val="0"/>
          <w:sz w:val="32"/>
          <w:szCs w:val="32"/>
          <w:shd w:val="clear" w:color="auto" w:fill="FFFFFF"/>
          <w:lang w:val="en-US" w:eastAsia="zh-CN"/>
        </w:rPr>
        <w:t>1</w:t>
      </w:r>
      <w:r>
        <w:rPr>
          <w:rFonts w:hint="eastAsia" w:ascii="仿宋_GB2312" w:hAnsi="宋体" w:eastAsia="仿宋_GB2312" w:cs="仿宋_GB2312"/>
          <w:color w:val="auto"/>
          <w:kern w:val="0"/>
          <w:sz w:val="32"/>
          <w:szCs w:val="32"/>
          <w:shd w:val="clear" w:color="auto" w:fill="FFFFFF"/>
        </w:rPr>
        <w:t>所，</w:t>
      </w:r>
      <w:r>
        <w:rPr>
          <w:rFonts w:hint="eastAsia" w:ascii="仿宋_GB2312" w:hAnsi="宋体" w:eastAsia="仿宋_GB2312" w:cs="仿宋_GB2312"/>
          <w:color w:val="auto"/>
          <w:kern w:val="0"/>
          <w:sz w:val="32"/>
          <w:szCs w:val="32"/>
          <w:shd w:val="clear" w:color="auto" w:fill="FFFFFF"/>
          <w:lang w:eastAsia="zh-CN"/>
        </w:rPr>
        <w:t>初级中学</w:t>
      </w:r>
      <w:r>
        <w:rPr>
          <w:rFonts w:hint="eastAsia" w:ascii="仿宋_GB2312" w:hAnsi="宋体" w:eastAsia="仿宋_GB2312" w:cs="仿宋_GB2312"/>
          <w:color w:val="auto"/>
          <w:kern w:val="0"/>
          <w:sz w:val="32"/>
          <w:szCs w:val="32"/>
          <w:shd w:val="clear" w:color="auto" w:fill="FFFFFF"/>
          <w:lang w:val="en-US" w:eastAsia="zh-CN"/>
        </w:rPr>
        <w:t>1所，高级中学1所，教学点4个。</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年末各类在校学生</w:t>
      </w:r>
      <w:r>
        <w:rPr>
          <w:rFonts w:hint="eastAsia" w:ascii="仿宋_GB2312" w:hAnsi="宋体" w:eastAsia="仿宋_GB2312" w:cs="仿宋_GB2312"/>
          <w:color w:val="auto"/>
          <w:kern w:val="0"/>
          <w:sz w:val="32"/>
          <w:szCs w:val="32"/>
          <w:shd w:val="clear" w:color="auto" w:fill="FFFFFF"/>
          <w:lang w:val="en-US" w:eastAsia="zh-CN"/>
        </w:rPr>
        <w:t>（不含学前教育）6123</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比上年增长</w:t>
      </w:r>
      <w:r>
        <w:rPr>
          <w:rFonts w:hint="eastAsia" w:ascii="仿宋_GB2312" w:hAnsi="宋体" w:eastAsia="仿宋_GB2312" w:cs="仿宋_GB2312"/>
          <w:color w:val="auto"/>
          <w:kern w:val="0"/>
          <w:sz w:val="32"/>
          <w:szCs w:val="32"/>
          <w:shd w:val="clear" w:color="auto" w:fill="FFFFFF"/>
          <w:lang w:val="en-US" w:eastAsia="zh-CN"/>
        </w:rPr>
        <w:t>0.23</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rPr>
        <w:t>其中</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rPr>
        <w:t>高中学生</w:t>
      </w:r>
      <w:r>
        <w:rPr>
          <w:rFonts w:hint="eastAsia" w:ascii="仿宋_GB2312" w:hAnsi="宋体" w:eastAsia="仿宋_GB2312" w:cs="仿宋_GB2312"/>
          <w:color w:val="auto"/>
          <w:kern w:val="0"/>
          <w:sz w:val="32"/>
          <w:szCs w:val="32"/>
          <w:shd w:val="clear" w:color="auto" w:fill="FFFFFF"/>
          <w:lang w:val="en-US" w:eastAsia="zh-CN"/>
        </w:rPr>
        <w:t>713</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与上年增长</w:t>
      </w:r>
      <w:r>
        <w:rPr>
          <w:rFonts w:hint="eastAsia" w:ascii="仿宋_GB2312" w:hAnsi="宋体" w:eastAsia="仿宋_GB2312" w:cs="仿宋_GB2312"/>
          <w:color w:val="auto"/>
          <w:kern w:val="0"/>
          <w:sz w:val="32"/>
          <w:szCs w:val="32"/>
          <w:shd w:val="clear" w:color="auto" w:fill="FFFFFF"/>
          <w:lang w:val="en-US" w:eastAsia="zh-CN"/>
        </w:rPr>
        <w:t>16.12%</w:t>
      </w:r>
      <w:r>
        <w:rPr>
          <w:rFonts w:hint="eastAsia" w:ascii="仿宋_GB2312" w:hAnsi="宋体" w:eastAsia="仿宋_GB2312" w:cs="仿宋_GB2312"/>
          <w:color w:val="auto"/>
          <w:kern w:val="0"/>
          <w:sz w:val="32"/>
          <w:szCs w:val="32"/>
          <w:shd w:val="clear" w:color="auto" w:fill="FFFFFF"/>
        </w:rPr>
        <w:t>；初中学生</w:t>
      </w:r>
      <w:r>
        <w:rPr>
          <w:rFonts w:hint="eastAsia" w:ascii="仿宋_GB2312" w:hAnsi="宋体" w:eastAsia="仿宋_GB2312" w:cs="仿宋_GB2312"/>
          <w:color w:val="auto"/>
          <w:kern w:val="0"/>
          <w:sz w:val="32"/>
          <w:szCs w:val="32"/>
          <w:shd w:val="clear" w:color="auto" w:fill="FFFFFF"/>
          <w:lang w:val="en-US" w:eastAsia="zh-CN"/>
        </w:rPr>
        <w:t>1524</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比上年下降</w:t>
      </w:r>
      <w:r>
        <w:rPr>
          <w:rFonts w:hint="eastAsia" w:ascii="仿宋_GB2312" w:hAnsi="宋体" w:eastAsia="仿宋_GB2312" w:cs="仿宋_GB2312"/>
          <w:color w:val="auto"/>
          <w:kern w:val="0"/>
          <w:sz w:val="32"/>
          <w:szCs w:val="32"/>
          <w:shd w:val="clear" w:color="auto" w:fill="FFFFFF"/>
          <w:lang w:val="en-US" w:eastAsia="zh-CN"/>
        </w:rPr>
        <w:t>3.24</w:t>
      </w:r>
      <w:r>
        <w:rPr>
          <w:rFonts w:hint="eastAsia" w:ascii="仿宋_GB2312" w:hAnsi="宋体" w:eastAsia="仿宋_GB2312" w:cs="仿宋_GB2312"/>
          <w:color w:val="auto"/>
          <w:kern w:val="0"/>
          <w:sz w:val="32"/>
          <w:szCs w:val="32"/>
          <w:shd w:val="clear" w:color="auto" w:fill="FFFFFF"/>
        </w:rPr>
        <w:t>%；小学学生</w:t>
      </w:r>
      <w:r>
        <w:rPr>
          <w:rFonts w:hint="eastAsia" w:ascii="仿宋_GB2312" w:hAnsi="宋体" w:eastAsia="仿宋_GB2312" w:cs="仿宋_GB2312"/>
          <w:color w:val="auto"/>
          <w:kern w:val="0"/>
          <w:sz w:val="32"/>
          <w:szCs w:val="32"/>
          <w:shd w:val="clear" w:color="auto" w:fill="FFFFFF"/>
          <w:lang w:val="en-US" w:eastAsia="zh-CN"/>
        </w:rPr>
        <w:t>3886</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比上年下降</w:t>
      </w:r>
      <w:r>
        <w:rPr>
          <w:rFonts w:hint="eastAsia" w:ascii="仿宋_GB2312" w:hAnsi="宋体" w:eastAsia="仿宋_GB2312" w:cs="仿宋_GB2312"/>
          <w:color w:val="auto"/>
          <w:kern w:val="0"/>
          <w:sz w:val="32"/>
          <w:szCs w:val="32"/>
          <w:shd w:val="clear" w:color="auto" w:fill="FFFFFF"/>
          <w:lang w:val="en-US" w:eastAsia="zh-CN"/>
        </w:rPr>
        <w:t>0.87%</w:t>
      </w:r>
      <w:r>
        <w:rPr>
          <w:rFonts w:hint="eastAsia" w:ascii="仿宋_GB2312" w:hAnsi="宋体" w:eastAsia="仿宋_GB2312" w:cs="仿宋_GB2312"/>
          <w:color w:val="auto"/>
          <w:kern w:val="0"/>
          <w:sz w:val="32"/>
          <w:szCs w:val="32"/>
          <w:shd w:val="clear" w:color="auto" w:fill="FFFFFF"/>
        </w:rPr>
        <w:t>。高中、初中、小学生分别占在校学生的</w:t>
      </w:r>
      <w:r>
        <w:rPr>
          <w:rFonts w:hint="eastAsia" w:ascii="仿宋_GB2312" w:hAnsi="宋体" w:eastAsia="仿宋_GB2312" w:cs="仿宋_GB2312"/>
          <w:color w:val="auto"/>
          <w:kern w:val="0"/>
          <w:sz w:val="32"/>
          <w:szCs w:val="32"/>
          <w:shd w:val="clear" w:color="auto" w:fill="FFFFFF"/>
          <w:lang w:val="en-US" w:eastAsia="zh-CN"/>
        </w:rPr>
        <w:t>11.64</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val="en-US" w:eastAsia="zh-CN"/>
        </w:rPr>
        <w:t>24.89</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val="en-US" w:eastAsia="zh-CN"/>
        </w:rPr>
        <w:t>63.47</w:t>
      </w:r>
      <w:r>
        <w:rPr>
          <w:rFonts w:hint="eastAsia" w:ascii="仿宋_GB2312" w:hAnsi="宋体" w:eastAsia="仿宋_GB2312" w:cs="仿宋_GB2312"/>
          <w:color w:val="auto"/>
          <w:kern w:val="0"/>
          <w:sz w:val="32"/>
          <w:szCs w:val="32"/>
          <w:shd w:val="clear" w:color="auto" w:fill="FFFFFF"/>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eastAsia="zh-CN"/>
        </w:rPr>
      </w:pPr>
      <w:r>
        <w:rPr>
          <w:rFonts w:hint="eastAsia" w:ascii="仿宋_GB2312" w:hAnsi="宋体" w:eastAsia="仿宋_GB2312" w:cs="仿宋_GB2312"/>
          <w:color w:val="auto"/>
          <w:kern w:val="0"/>
          <w:sz w:val="32"/>
          <w:szCs w:val="32"/>
          <w:shd w:val="clear" w:color="auto" w:fill="FFFFFF"/>
        </w:rPr>
        <w:t>年末各类在校学生</w:t>
      </w:r>
      <w:r>
        <w:rPr>
          <w:rFonts w:hint="eastAsia" w:ascii="仿宋_GB2312" w:hAnsi="宋体" w:eastAsia="仿宋_GB2312" w:cs="仿宋_GB2312"/>
          <w:color w:val="auto"/>
          <w:kern w:val="0"/>
          <w:sz w:val="32"/>
          <w:szCs w:val="32"/>
          <w:shd w:val="clear" w:color="auto" w:fill="FFFFFF"/>
          <w:lang w:val="en-US" w:eastAsia="zh-CN"/>
        </w:rPr>
        <w:t>（含学前教育）7721</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，其中：</w:t>
      </w:r>
      <w:r>
        <w:rPr>
          <w:rFonts w:hint="eastAsia" w:ascii="仿宋_GB2312" w:hAnsi="宋体" w:eastAsia="仿宋_GB2312" w:cs="仿宋_GB2312"/>
          <w:color w:val="auto"/>
          <w:kern w:val="0"/>
          <w:sz w:val="32"/>
          <w:szCs w:val="32"/>
          <w:shd w:val="clear" w:color="auto" w:fill="FFFFFF"/>
        </w:rPr>
        <w:t>幼儿园在园（班）幼儿数</w:t>
      </w:r>
      <w:r>
        <w:rPr>
          <w:rFonts w:hint="eastAsia" w:ascii="仿宋_GB2312" w:hAnsi="宋体" w:eastAsia="仿宋_GB2312" w:cs="仿宋_GB2312"/>
          <w:color w:val="auto"/>
          <w:kern w:val="0"/>
          <w:sz w:val="32"/>
          <w:szCs w:val="32"/>
          <w:shd w:val="clear" w:color="auto" w:fill="FFFFFF"/>
          <w:lang w:val="en-US" w:eastAsia="zh-CN"/>
        </w:rPr>
        <w:t>1598</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w:t>
      </w:r>
      <w:r>
        <w:rPr>
          <w:rFonts w:hint="eastAsia" w:ascii="仿宋_GB2312" w:hAnsi="宋体" w:eastAsia="仿宋_GB2312" w:cs="仿宋_GB2312"/>
          <w:color w:val="auto"/>
          <w:kern w:val="0"/>
          <w:sz w:val="32"/>
          <w:szCs w:val="32"/>
          <w:shd w:val="clear" w:color="auto" w:fill="FFFFFF"/>
        </w:rPr>
        <w:t>下降</w:t>
      </w:r>
      <w:r>
        <w:rPr>
          <w:rFonts w:hint="eastAsia" w:ascii="仿宋_GB2312" w:hAnsi="宋体" w:eastAsia="仿宋_GB2312" w:cs="仿宋_GB2312"/>
          <w:color w:val="auto"/>
          <w:kern w:val="0"/>
          <w:sz w:val="32"/>
          <w:szCs w:val="32"/>
          <w:shd w:val="clear" w:color="auto" w:fill="FFFFFF"/>
          <w:lang w:val="en-US" w:eastAsia="zh-CN"/>
        </w:rPr>
        <w:t>10.02</w:t>
      </w:r>
      <w:r>
        <w:rPr>
          <w:rFonts w:hint="eastAsia" w:ascii="仿宋_GB2312" w:hAnsi="宋体" w:eastAsia="仿宋_GB2312" w:cs="仿宋_GB2312"/>
          <w:color w:val="auto"/>
          <w:kern w:val="0"/>
          <w:sz w:val="32"/>
          <w:szCs w:val="32"/>
          <w:shd w:val="clear" w:color="auto" w:fill="FFFFFF"/>
        </w:rPr>
        <w:t>%。在校少数民族学生</w:t>
      </w:r>
      <w:r>
        <w:rPr>
          <w:rFonts w:hint="eastAsia" w:ascii="仿宋_GB2312" w:hAnsi="宋体" w:eastAsia="仿宋_GB2312" w:cs="仿宋_GB2312"/>
          <w:color w:val="auto"/>
          <w:kern w:val="0"/>
          <w:sz w:val="32"/>
          <w:szCs w:val="32"/>
          <w:shd w:val="clear" w:color="auto" w:fill="FFFFFF"/>
          <w:lang w:val="en-US" w:eastAsia="zh-CN"/>
        </w:rPr>
        <w:t>（含学前教育）4546</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比上年减少</w:t>
      </w:r>
      <w:r>
        <w:rPr>
          <w:rFonts w:hint="eastAsia" w:ascii="仿宋_GB2312" w:hAnsi="宋体" w:eastAsia="仿宋_GB2312" w:cs="仿宋_GB2312"/>
          <w:color w:val="auto"/>
          <w:kern w:val="0"/>
          <w:sz w:val="32"/>
          <w:szCs w:val="32"/>
          <w:shd w:val="clear" w:color="auto" w:fill="FFFFFF"/>
          <w:lang w:val="en-US" w:eastAsia="zh-CN"/>
        </w:rPr>
        <w:t>124人</w:t>
      </w:r>
      <w:r>
        <w:rPr>
          <w:rFonts w:hint="eastAsia" w:ascii="仿宋_GB2312" w:hAnsi="宋体" w:eastAsia="仿宋_GB2312" w:cs="仿宋_GB2312"/>
          <w:color w:val="auto"/>
          <w:kern w:val="0"/>
          <w:sz w:val="32"/>
          <w:szCs w:val="32"/>
          <w:shd w:val="clear" w:color="auto" w:fill="FFFFFF"/>
        </w:rPr>
        <w:t>，占在校学生总数的</w:t>
      </w:r>
      <w:r>
        <w:rPr>
          <w:rFonts w:hint="eastAsia" w:ascii="仿宋_GB2312" w:hAnsi="宋体" w:eastAsia="仿宋_GB2312" w:cs="仿宋_GB2312"/>
          <w:color w:val="auto"/>
          <w:kern w:val="0"/>
          <w:sz w:val="32"/>
          <w:szCs w:val="32"/>
          <w:shd w:val="clear" w:color="auto" w:fill="FFFFFF"/>
          <w:lang w:val="en-US" w:eastAsia="zh-CN"/>
        </w:rPr>
        <w:t>58.88</w:t>
      </w:r>
      <w:r>
        <w:rPr>
          <w:rFonts w:hint="eastAsia" w:ascii="仿宋_GB2312" w:hAnsi="宋体" w:eastAsia="仿宋_GB2312" w:cs="仿宋_GB2312"/>
          <w:color w:val="auto"/>
          <w:kern w:val="0"/>
          <w:sz w:val="32"/>
          <w:szCs w:val="32"/>
          <w:shd w:val="clear" w:color="auto" w:fill="FFFFFF"/>
        </w:rPr>
        <w:t>%。小学学龄人口入学率为</w:t>
      </w:r>
      <w:r>
        <w:rPr>
          <w:rFonts w:hint="eastAsia" w:ascii="仿宋_GB2312" w:hAnsi="宋体" w:eastAsia="仿宋_GB2312" w:cs="仿宋_GB2312"/>
          <w:color w:val="auto"/>
          <w:kern w:val="0"/>
          <w:sz w:val="32"/>
          <w:szCs w:val="32"/>
          <w:shd w:val="clear" w:color="auto" w:fill="FFFFFF"/>
          <w:lang w:val="en-US" w:eastAsia="zh-CN"/>
        </w:rPr>
        <w:t>100</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初中</w:t>
      </w:r>
      <w:r>
        <w:rPr>
          <w:rFonts w:hint="eastAsia" w:ascii="仿宋_GB2312" w:hAnsi="宋体" w:eastAsia="仿宋_GB2312" w:cs="仿宋_GB2312"/>
          <w:color w:val="auto"/>
          <w:kern w:val="0"/>
          <w:sz w:val="32"/>
          <w:szCs w:val="32"/>
          <w:shd w:val="clear" w:color="auto" w:fill="FFFFFF"/>
        </w:rPr>
        <w:t>学龄人口入学率为</w:t>
      </w:r>
      <w:r>
        <w:rPr>
          <w:rFonts w:hint="eastAsia" w:ascii="仿宋_GB2312" w:hAnsi="宋体" w:eastAsia="仿宋_GB2312" w:cs="仿宋_GB2312"/>
          <w:color w:val="auto"/>
          <w:kern w:val="0"/>
          <w:sz w:val="32"/>
          <w:szCs w:val="32"/>
          <w:shd w:val="clear" w:color="auto" w:fill="FFFFFF"/>
          <w:lang w:val="en-US" w:eastAsia="zh-CN"/>
        </w:rPr>
        <w:t>99.80</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（毛入学率</w:t>
      </w:r>
      <w:r>
        <w:rPr>
          <w:rFonts w:hint="eastAsia" w:ascii="仿宋_GB2312" w:hAnsi="宋体" w:eastAsia="仿宋_GB2312" w:cs="仿宋_GB2312"/>
          <w:color w:val="auto"/>
          <w:kern w:val="0"/>
          <w:sz w:val="32"/>
          <w:szCs w:val="32"/>
          <w:shd w:val="clear" w:color="auto" w:fill="FFFFFF"/>
          <w:lang w:val="en-US" w:eastAsia="zh-CN"/>
        </w:rPr>
        <w:t>100%</w:t>
      </w:r>
      <w:r>
        <w:rPr>
          <w:rFonts w:hint="eastAsia" w:ascii="仿宋_GB2312" w:hAnsi="宋体" w:eastAsia="仿宋_GB2312" w:cs="仿宋_GB2312"/>
          <w:color w:val="auto"/>
          <w:kern w:val="0"/>
          <w:sz w:val="32"/>
          <w:szCs w:val="32"/>
          <w:shd w:val="clear" w:color="auto" w:fill="FFFFFF"/>
          <w:lang w:eastAsia="zh-CN"/>
        </w:rPr>
        <w:t>）九年义务教育巩固率</w:t>
      </w:r>
      <w:r>
        <w:rPr>
          <w:rFonts w:hint="eastAsia" w:ascii="仿宋_GB2312" w:hAnsi="宋体" w:eastAsia="仿宋_GB2312" w:cs="仿宋_GB2312"/>
          <w:color w:val="auto"/>
          <w:kern w:val="0"/>
          <w:sz w:val="32"/>
          <w:szCs w:val="32"/>
          <w:shd w:val="clear" w:color="auto" w:fill="FFFFFF"/>
          <w:lang w:val="en-US" w:eastAsia="zh-CN"/>
        </w:rPr>
        <w:t>99.50%，高中阶段教育毛入学率98.17%</w:t>
      </w:r>
      <w:r>
        <w:rPr>
          <w:rFonts w:hint="eastAsia" w:ascii="仿宋_GB2312" w:hAnsi="宋体" w:eastAsia="仿宋_GB2312" w:cs="仿宋_GB2312"/>
          <w:color w:val="auto"/>
          <w:kern w:val="0"/>
          <w:sz w:val="32"/>
          <w:szCs w:val="32"/>
          <w:shd w:val="clear" w:color="auto" w:fill="FFFFFF"/>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eastAsia="zh-CN"/>
        </w:rPr>
      </w:pPr>
      <w:r>
        <w:rPr>
          <w:rFonts w:hint="eastAsia" w:ascii="仿宋_GB2312" w:hAnsi="宋体" w:eastAsia="仿宋_GB2312" w:cs="仿宋_GB2312"/>
          <w:color w:val="auto"/>
          <w:kern w:val="0"/>
          <w:sz w:val="32"/>
          <w:szCs w:val="32"/>
          <w:shd w:val="clear" w:color="auto" w:fill="FFFFFF"/>
        </w:rPr>
        <w:t>年末全县拥有教职工人数</w:t>
      </w:r>
      <w:r>
        <w:rPr>
          <w:rFonts w:hint="eastAsia" w:ascii="仿宋_GB2312" w:hAnsi="宋体" w:eastAsia="仿宋_GB2312" w:cs="仿宋_GB2312"/>
          <w:color w:val="auto"/>
          <w:kern w:val="0"/>
          <w:sz w:val="32"/>
          <w:szCs w:val="32"/>
          <w:shd w:val="clear" w:color="auto" w:fill="FFFFFF"/>
          <w:lang w:val="en-US" w:eastAsia="zh-CN"/>
        </w:rPr>
        <w:t>1033</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比上年下降</w:t>
      </w:r>
      <w:r>
        <w:rPr>
          <w:rFonts w:hint="eastAsia" w:ascii="仿宋_GB2312" w:hAnsi="宋体" w:eastAsia="仿宋_GB2312" w:cs="仿宋_GB2312"/>
          <w:color w:val="auto"/>
          <w:kern w:val="0"/>
          <w:sz w:val="32"/>
          <w:szCs w:val="32"/>
          <w:shd w:val="clear" w:color="auto" w:fill="FFFFFF"/>
          <w:lang w:val="en-US" w:eastAsia="zh-CN"/>
        </w:rPr>
        <w:t>7.69</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cs="仿宋_GB2312"/>
          <w:color w:val="auto"/>
          <w:kern w:val="2"/>
          <w:sz w:val="32"/>
          <w:szCs w:val="32"/>
          <w:highlight w:val="none"/>
          <w:lang w:val="en-US" w:eastAsia="zh-CN" w:bidi="ar"/>
        </w:rPr>
      </w:pPr>
      <w:r>
        <w:rPr>
          <w:rFonts w:hint="eastAsia" w:ascii="仿宋_GB2312" w:hAnsi="宋体" w:eastAsia="仿宋_GB2312" w:cs="仿宋_GB2312"/>
          <w:color w:val="auto"/>
          <w:kern w:val="0"/>
          <w:sz w:val="32"/>
          <w:szCs w:val="32"/>
          <w:shd w:val="clear" w:color="auto" w:fill="FFFFFF"/>
          <w:lang w:val="en-US" w:eastAsia="zh-CN"/>
        </w:rPr>
        <w:t>全年</w:t>
      </w:r>
      <w:r>
        <w:rPr>
          <w:rFonts w:hint="eastAsia" w:ascii="仿宋_GB2312" w:hAnsi="宋体" w:eastAsia="仿宋_GB2312" w:cs="仿宋_GB2312"/>
          <w:color w:val="auto"/>
          <w:kern w:val="0"/>
          <w:sz w:val="32"/>
          <w:szCs w:val="32"/>
          <w:shd w:val="clear" w:color="auto" w:fill="FFFFFF"/>
          <w:lang w:eastAsia="zh-CN"/>
        </w:rPr>
        <w:t>国家财政性教育经费</w:t>
      </w:r>
      <w:r>
        <w:rPr>
          <w:rFonts w:hint="eastAsia" w:ascii="仿宋_GB2312" w:hAnsi="宋体" w:eastAsia="仿宋_GB2312" w:cs="仿宋_GB2312"/>
          <w:color w:val="auto"/>
          <w:kern w:val="0"/>
          <w:sz w:val="32"/>
          <w:szCs w:val="32"/>
          <w:shd w:val="clear" w:color="auto" w:fill="FFFFFF"/>
          <w:lang w:val="en-US" w:eastAsia="zh-CN"/>
        </w:rPr>
        <w:t>31978.90万元</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比上年增长</w:t>
      </w:r>
      <w:r>
        <w:rPr>
          <w:rFonts w:hint="eastAsia" w:ascii="仿宋_GB2312" w:hAnsi="宋体" w:eastAsia="仿宋_GB2312" w:cs="仿宋_GB2312"/>
          <w:color w:val="auto"/>
          <w:kern w:val="0"/>
          <w:sz w:val="32"/>
          <w:szCs w:val="32"/>
          <w:shd w:val="clear" w:color="auto" w:fill="FFFFFF"/>
          <w:lang w:val="en-US" w:eastAsia="zh-CN"/>
        </w:rPr>
        <w:t>9.80</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全年</w:t>
      </w:r>
      <w:r>
        <w:rPr>
          <w:rFonts w:hint="eastAsia" w:ascii="仿宋_GB2312" w:eastAsia="仿宋_GB2312" w:cs="仿宋_GB2312"/>
          <w:color w:val="auto"/>
          <w:kern w:val="2"/>
          <w:sz w:val="32"/>
          <w:szCs w:val="32"/>
          <w:highlight w:val="none"/>
          <w:lang w:val="en-US" w:eastAsia="zh-CN" w:bidi="ar"/>
        </w:rPr>
        <w:t>从幼儿伙食补助至大学新生学生资助共落实资金1203.32万元，其中：义务教育阶段家庭经济困难学生生活费补助166.68万元。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十、文化旅游、卫生健康和体育</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val="en-US" w:eastAsia="zh-CN"/>
        </w:rPr>
        <w:t>现有4A级景区1家，3A级景区1家，2A景区1家，三星级宾馆2家，三星级农家乐6家。</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lang w:val="en-US" w:eastAsia="zh-CN"/>
        </w:rPr>
        <w:t>三馆”免费开放，培养艺术幼苗30多人次。</w:t>
      </w:r>
      <w:r>
        <w:rPr>
          <w:rFonts w:hint="eastAsia" w:ascii="仿宋_GB2312" w:hAnsi="宋体" w:eastAsia="仿宋_GB2312" w:cs="仿宋_GB2312"/>
          <w:color w:val="auto"/>
          <w:kern w:val="0"/>
          <w:sz w:val="32"/>
          <w:szCs w:val="32"/>
          <w:shd w:val="clear" w:color="auto" w:fill="FFFFFF"/>
          <w:lang w:eastAsia="zh-CN"/>
        </w:rPr>
        <w:t>图书馆</w:t>
      </w:r>
      <w:r>
        <w:rPr>
          <w:rFonts w:hint="eastAsia" w:ascii="仿宋_GB2312" w:hAnsi="宋体" w:eastAsia="仿宋_GB2312" w:cs="仿宋_GB2312"/>
          <w:color w:val="auto"/>
          <w:kern w:val="0"/>
          <w:sz w:val="32"/>
          <w:szCs w:val="32"/>
          <w:shd w:val="clear" w:color="auto" w:fill="FFFFFF"/>
          <w:lang w:val="en-US" w:eastAsia="zh-CN"/>
        </w:rPr>
        <w:t>接待读者18500人次，借阅册次达到了15200余册，采购新书195册</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rPr>
        <w:t>巴什拜展览馆接待游客</w:t>
      </w:r>
      <w:r>
        <w:rPr>
          <w:rFonts w:hint="eastAsia" w:ascii="仿宋_GB2312" w:hAnsi="宋体" w:eastAsia="仿宋_GB2312" w:cs="仿宋_GB2312"/>
          <w:color w:val="auto"/>
          <w:kern w:val="0"/>
          <w:sz w:val="32"/>
          <w:szCs w:val="32"/>
          <w:shd w:val="clear" w:color="auto" w:fill="FFFFFF"/>
          <w:lang w:val="en-US" w:eastAsia="zh-CN"/>
        </w:rPr>
        <w:t>1.5万</w:t>
      </w:r>
      <w:r>
        <w:rPr>
          <w:rFonts w:hint="eastAsia" w:ascii="仿宋_GB2312" w:hAnsi="宋体" w:eastAsia="仿宋_GB2312" w:cs="仿宋_GB2312"/>
          <w:color w:val="auto"/>
          <w:kern w:val="0"/>
          <w:sz w:val="32"/>
          <w:szCs w:val="32"/>
          <w:shd w:val="clear" w:color="auto" w:fill="FFFFFF"/>
        </w:rPr>
        <w:t>余人</w:t>
      </w:r>
      <w:r>
        <w:rPr>
          <w:rFonts w:hint="eastAsia" w:ascii="仿宋_GB2312" w:hAnsi="宋体" w:eastAsia="仿宋_GB2312" w:cs="仿宋_GB2312"/>
          <w:color w:val="auto"/>
          <w:kern w:val="0"/>
          <w:sz w:val="32"/>
          <w:szCs w:val="32"/>
          <w:shd w:val="clear" w:color="auto" w:fill="FFFFFF"/>
          <w:lang w:eastAsia="zh-CN"/>
        </w:rPr>
        <w:t>次，其中中小学生</w:t>
      </w:r>
      <w:r>
        <w:rPr>
          <w:rFonts w:hint="eastAsia" w:ascii="仿宋_GB2312" w:hAnsi="宋体" w:eastAsia="仿宋_GB2312" w:cs="仿宋_GB2312"/>
          <w:color w:val="auto"/>
          <w:kern w:val="0"/>
          <w:sz w:val="32"/>
          <w:szCs w:val="32"/>
          <w:shd w:val="clear" w:color="auto" w:fill="FFFFFF"/>
          <w:lang w:val="en-US" w:eastAsia="zh-CN"/>
        </w:rPr>
        <w:t>达0.8万余人次。</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全年创编歌舞、小品等文艺作品5余部，创作本土歌曲、诗歌20首。</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全年卫健系统共核定编制365名，其中：行政编制5名、工勤编26名、参照公务员编制10名、全额事业编制190名、差额事业编制134名。实际有工作人员569人，其中：在编360人、自聘209人。设县级医疗机构3所，实有工作人员412人。实有专业技术人员313人，其中：正高职称34人，副高职称17人，中级职称57人，初级职称151人，无职称54人。设乡级卫生医疗机构6所（乡镇卫生院5所、1所牧业医院、村卫生室40所），乡镇卫生院共有工作人员157人，实有专业技术人员122人，其中：副高职称9人，中级职称14人，初级职称73人，无职称25人。全县共有村医37人。个体诊所6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val="en-US" w:eastAsia="zh-CN"/>
        </w:rPr>
        <w:t>全年举办154场赛事活动，其中：社区运动会130场次，乡村百日竞赛活动共举办10场次，全疆体育赛事13场次，全国赛事1场次。</w:t>
      </w:r>
      <w:r>
        <w:rPr>
          <w:rFonts w:hint="eastAsia" w:ascii="仿宋_GB2312" w:hAnsi="宋体" w:eastAsia="仿宋_GB2312" w:cs="仿宋_GB2312"/>
          <w:color w:val="auto"/>
          <w:kern w:val="0"/>
          <w:sz w:val="32"/>
          <w:szCs w:val="32"/>
          <w:shd w:val="clear" w:color="auto" w:fill="FFFFFF"/>
        </w:rPr>
        <w:t>参与全民健身活动人数达到</w:t>
      </w:r>
      <w:r>
        <w:rPr>
          <w:rFonts w:hint="eastAsia" w:ascii="仿宋_GB2312" w:hAnsi="宋体" w:eastAsia="仿宋_GB2312" w:cs="仿宋_GB2312"/>
          <w:color w:val="auto"/>
          <w:kern w:val="0"/>
          <w:sz w:val="32"/>
          <w:szCs w:val="32"/>
          <w:shd w:val="clear" w:color="auto" w:fill="FFFFFF"/>
          <w:lang w:val="en-US" w:eastAsia="zh-CN"/>
        </w:rPr>
        <w:t>6.6</w:t>
      </w:r>
      <w:r>
        <w:rPr>
          <w:rFonts w:hint="eastAsia" w:ascii="仿宋_GB2312" w:hAnsi="宋体" w:eastAsia="仿宋_GB2312" w:cs="仿宋_GB2312"/>
          <w:color w:val="auto"/>
          <w:kern w:val="0"/>
          <w:sz w:val="32"/>
          <w:szCs w:val="32"/>
          <w:shd w:val="clear" w:color="auto" w:fill="FFFFFF"/>
        </w:rPr>
        <w:t>万人次</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lang w:val="en-US" w:eastAsia="zh-CN"/>
        </w:rPr>
        <w:t>2023年共投入体育项目资金158.5万元。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十一、资源、环境和应急管理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Times New Roman"/>
          <w:color w:val="auto"/>
          <w:kern w:val="10"/>
          <w:sz w:val="32"/>
          <w:szCs w:val="32"/>
          <w:lang w:eastAsia="zh-CN"/>
        </w:rPr>
      </w:pPr>
      <w:r>
        <w:rPr>
          <w:rFonts w:hint="eastAsia" w:ascii="仿宋_GB2312" w:hAnsi="宋体" w:eastAsia="仿宋_GB2312" w:cs="Times New Roman"/>
          <w:color w:val="auto"/>
          <w:kern w:val="10"/>
          <w:sz w:val="32"/>
          <w:szCs w:val="32"/>
          <w:lang w:eastAsia="zh-CN"/>
        </w:rPr>
        <w:t>全县已发现矿产</w:t>
      </w:r>
      <w:r>
        <w:rPr>
          <w:rFonts w:hint="eastAsia" w:ascii="仿宋_GB2312" w:hAnsi="宋体" w:eastAsia="仿宋_GB2312" w:cs="Times New Roman"/>
          <w:color w:val="auto"/>
          <w:kern w:val="10"/>
          <w:sz w:val="32"/>
          <w:szCs w:val="32"/>
          <w:lang w:val="en-US" w:eastAsia="zh-CN"/>
        </w:rPr>
        <w:t>14种。</w:t>
      </w:r>
      <w:r>
        <w:rPr>
          <w:rFonts w:hint="eastAsia" w:ascii="仿宋_GB2312" w:hAnsi="宋体" w:eastAsia="仿宋_GB2312" w:cs="Times New Roman"/>
          <w:color w:val="auto"/>
          <w:kern w:val="10"/>
          <w:sz w:val="32"/>
          <w:szCs w:val="32"/>
          <w:lang w:eastAsia="zh-CN"/>
        </w:rPr>
        <w:t>全年完成造林面积</w:t>
      </w:r>
      <w:r>
        <w:rPr>
          <w:rFonts w:hint="eastAsia" w:ascii="仿宋_GB2312" w:hAnsi="宋体" w:eastAsia="仿宋_GB2312" w:cs="Times New Roman"/>
          <w:color w:val="auto"/>
          <w:kern w:val="10"/>
          <w:sz w:val="32"/>
          <w:szCs w:val="32"/>
          <w:lang w:val="en-US" w:eastAsia="zh-CN"/>
        </w:rPr>
        <w:t>1700亩</w:t>
      </w:r>
      <w:r>
        <w:rPr>
          <w:rFonts w:hint="eastAsia" w:ascii="仿宋_GB2312" w:hAnsi="宋体" w:eastAsia="仿宋_GB2312" w:cs="Times New Roman"/>
          <w:color w:val="auto"/>
          <w:kern w:val="10"/>
          <w:sz w:val="32"/>
          <w:szCs w:val="32"/>
          <w:lang w:eastAsia="zh-CN"/>
        </w:rPr>
        <w:t>，森林覆盖率</w:t>
      </w:r>
      <w:r>
        <w:rPr>
          <w:rFonts w:hint="eastAsia" w:ascii="仿宋_GB2312" w:hAnsi="宋体" w:eastAsia="仿宋_GB2312" w:cs="Times New Roman"/>
          <w:color w:val="auto"/>
          <w:kern w:val="10"/>
          <w:sz w:val="32"/>
          <w:szCs w:val="32"/>
          <w:lang w:val="en-US" w:eastAsia="zh-CN"/>
        </w:rPr>
        <w:t>17</w:t>
      </w:r>
      <w:r>
        <w:rPr>
          <w:rFonts w:hint="eastAsia" w:ascii="仿宋_GB2312" w:hAnsi="宋体" w:eastAsia="仿宋_GB2312" w:cs="Times New Roman"/>
          <w:color w:val="auto"/>
          <w:kern w:val="10"/>
          <w:sz w:val="32"/>
          <w:szCs w:val="32"/>
          <w:lang w:eastAsia="zh-CN"/>
        </w:rPr>
        <w:t>％，国家级自然保护区</w:t>
      </w:r>
      <w:r>
        <w:rPr>
          <w:rFonts w:hint="eastAsia" w:ascii="仿宋_GB2312" w:hAnsi="宋体" w:eastAsia="仿宋_GB2312" w:cs="Times New Roman"/>
          <w:color w:val="auto"/>
          <w:kern w:val="10"/>
          <w:sz w:val="32"/>
          <w:szCs w:val="32"/>
          <w:lang w:val="en-US" w:eastAsia="zh-CN"/>
        </w:rPr>
        <w:t>1</w:t>
      </w:r>
      <w:r>
        <w:rPr>
          <w:rFonts w:hint="eastAsia" w:ascii="仿宋_GB2312" w:hAnsi="宋体" w:eastAsia="仿宋_GB2312" w:cs="Times New Roman"/>
          <w:color w:val="auto"/>
          <w:kern w:val="10"/>
          <w:sz w:val="32"/>
          <w:szCs w:val="32"/>
          <w:lang w:eastAsia="zh-CN"/>
        </w:rPr>
        <w:t>个，保护区总面积为</w:t>
      </w:r>
      <w:r>
        <w:rPr>
          <w:rFonts w:hint="eastAsia" w:ascii="仿宋_GB2312" w:hAnsi="宋体" w:eastAsia="仿宋_GB2312" w:cs="Times New Roman"/>
          <w:color w:val="auto"/>
          <w:kern w:val="10"/>
          <w:sz w:val="32"/>
          <w:szCs w:val="32"/>
          <w:lang w:val="en-US" w:eastAsia="zh-CN"/>
        </w:rPr>
        <w:t>115037.3</w:t>
      </w:r>
      <w:r>
        <w:rPr>
          <w:rFonts w:hint="eastAsia" w:ascii="仿宋_GB2312" w:hAnsi="宋体" w:eastAsia="仿宋_GB2312" w:cs="Times New Roman"/>
          <w:color w:val="auto"/>
          <w:kern w:val="10"/>
          <w:sz w:val="32"/>
          <w:szCs w:val="32"/>
          <w:lang w:eastAsia="zh-CN"/>
        </w:rPr>
        <w:t>公顷。地跨裕民和托里两县，其中：裕民县境内面积为</w:t>
      </w:r>
      <w:r>
        <w:rPr>
          <w:rFonts w:hint="eastAsia" w:ascii="仿宋_GB2312" w:hAnsi="宋体" w:eastAsia="仿宋_GB2312" w:cs="Times New Roman"/>
          <w:color w:val="auto"/>
          <w:kern w:val="10"/>
          <w:sz w:val="32"/>
          <w:szCs w:val="32"/>
          <w:lang w:val="en-US" w:eastAsia="zh-CN"/>
        </w:rPr>
        <w:t>102958.38</w:t>
      </w:r>
      <w:r>
        <w:rPr>
          <w:rFonts w:hint="eastAsia" w:ascii="仿宋_GB2312" w:hAnsi="宋体" w:eastAsia="仿宋_GB2312" w:cs="Times New Roman"/>
          <w:color w:val="auto"/>
          <w:kern w:val="10"/>
          <w:sz w:val="32"/>
          <w:szCs w:val="32"/>
          <w:lang w:eastAsia="zh-CN"/>
        </w:rPr>
        <w:t>公顷，占</w:t>
      </w:r>
      <w:r>
        <w:rPr>
          <w:rFonts w:hint="eastAsia" w:ascii="仿宋_GB2312" w:hAnsi="宋体" w:eastAsia="仿宋_GB2312" w:cs="Times New Roman"/>
          <w:color w:val="auto"/>
          <w:kern w:val="10"/>
          <w:sz w:val="32"/>
          <w:szCs w:val="32"/>
          <w:lang w:val="en-US" w:eastAsia="zh-CN"/>
        </w:rPr>
        <w:t>89.5</w:t>
      </w:r>
      <w:r>
        <w:rPr>
          <w:rFonts w:hint="eastAsia" w:ascii="仿宋_GB2312" w:hAnsi="宋体" w:eastAsia="仿宋_GB2312" w:cs="Times New Roman"/>
          <w:color w:val="auto"/>
          <w:kern w:val="10"/>
          <w:sz w:val="32"/>
          <w:szCs w:val="32"/>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全年</w:t>
      </w:r>
      <w:r>
        <w:rPr>
          <w:rFonts w:ascii="仿宋_GB2312" w:hAnsi="仿宋_GB2312" w:eastAsia="仿宋_GB2312" w:cs="仿宋_GB2312"/>
          <w:color w:val="auto"/>
          <w:sz w:val="32"/>
          <w:szCs w:val="32"/>
        </w:rPr>
        <w:t>环境空气质量优良天数比率达到</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7.5</w:t>
      </w:r>
      <w:r>
        <w:rPr>
          <w:rFonts w:ascii="仿宋_GB2312" w:hAnsi="仿宋_GB2312" w:eastAsia="仿宋_GB2312" w:cs="仿宋_GB2312"/>
          <w:color w:val="auto"/>
          <w:sz w:val="32"/>
          <w:szCs w:val="32"/>
        </w:rPr>
        <w:t>%（自治区标准北疆为优良天数占85%）</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 xml:space="preserve">PM2.5平均浓度为 </w:t>
      </w:r>
      <w:r>
        <w:rPr>
          <w:rFonts w:hint="eastAsia" w:ascii="仿宋_GB2312" w:hAnsi="仿宋_GB2312" w:eastAsia="仿宋_GB2312" w:cs="仿宋_GB2312"/>
          <w:color w:val="auto"/>
          <w:sz w:val="32"/>
          <w:szCs w:val="32"/>
        </w:rPr>
        <w:t>11</w:t>
      </w:r>
      <w:r>
        <w:rPr>
          <w:rFonts w:ascii="仿宋_GB2312" w:hAnsi="仿宋_GB2312" w:eastAsia="仿宋_GB2312" w:cs="仿宋_GB2312"/>
          <w:color w:val="auto"/>
          <w:sz w:val="32"/>
          <w:szCs w:val="32"/>
        </w:rPr>
        <w:t>ug/</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ascii="仿宋_GB2312" w:hAnsi="仿宋_GB2312" w:eastAsia="仿宋_GB2312" w:cs="仿宋_GB2312"/>
          <w:color w:val="auto"/>
          <w:sz w:val="32"/>
          <w:szCs w:val="32"/>
        </w:rPr>
        <w:t>，低于国标35ug/</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9%，PM10平均浓度为</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9ug/</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。经地区环境监测部门的采样监测，河流塔斯提河断面</w:t>
      </w:r>
      <w:r>
        <w:rPr>
          <w:rFonts w:hint="eastAsia" w:ascii="仿宋_GB2312" w:hAnsi="仿宋_GB2312" w:eastAsia="仿宋_GB2312" w:cs="仿宋_GB2312"/>
          <w:color w:val="auto"/>
          <w:sz w:val="32"/>
          <w:szCs w:val="32"/>
          <w:lang w:eastAsia="zh-CN"/>
        </w:rPr>
        <w:t>、额敏河巴什拜大桥断面</w:t>
      </w:r>
      <w:r>
        <w:rPr>
          <w:rFonts w:hint="eastAsia" w:ascii="仿宋_GB2312" w:hAnsi="仿宋_GB2312" w:eastAsia="仿宋_GB2312" w:cs="仿宋_GB2312"/>
          <w:color w:val="auto"/>
          <w:sz w:val="32"/>
          <w:szCs w:val="32"/>
        </w:rPr>
        <w:t>水质保持在Ⅱ类水质以上，水质状况良好；哈拉布拉水库饮用水源地水质达到国家《地表水环境质量标准》（GB3838—2002）Ⅱ类水质标准，</w:t>
      </w:r>
      <w:r>
        <w:rPr>
          <w:rFonts w:hint="eastAsia" w:ascii="仿宋_GB2312" w:hAnsi="仿宋_GB2312" w:eastAsia="仿宋_GB2312" w:cs="仿宋_GB2312"/>
          <w:color w:val="auto"/>
          <w:sz w:val="32"/>
          <w:szCs w:val="32"/>
          <w:lang w:val="en-US" w:eastAsia="zh-CN"/>
        </w:rPr>
        <w:t>我县集中式生活饮用水水源水质达标率100%</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道路交通方面：全年共发生一般交通事故176起（其中一般事故5起，简易事故171起），同比增长93.4%。死亡3人，死亡人数增加1人，同比上升50%；受伤119人，同比下降18.5%，直接经济损失24450元，同比上升67.5%。消防安全方面：全年共发生火灾75起，同比下降2.6%；经济损失387500元，同比下降57.25%；无人员伤亡，同比持平。其他行业领域：未发生生产安全事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518" w:leftChars="0" w:hanging="518" w:hangingChars="200"/>
        <w:jc w:val="both"/>
        <w:textAlignment w:val="auto"/>
        <w:rPr>
          <w:rFonts w:hint="eastAsia" w:ascii="仿宋_GB2312" w:hAnsi="宋体" w:eastAsia="仿宋_GB2312" w:cs="仿宋_GB2312"/>
          <w:b/>
          <w:bCs/>
          <w:i w:val="0"/>
          <w:caps w:val="0"/>
          <w:color w:val="auto"/>
          <w:spacing w:val="-6"/>
          <w:sz w:val="27"/>
          <w:szCs w:val="27"/>
          <w:shd w:val="clear" w:fill="FFFFFF"/>
          <w:vertAlign w:val="baseline"/>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8" w:firstLineChars="200"/>
        <w:jc w:val="both"/>
        <w:textAlignment w:val="auto"/>
        <w:rPr>
          <w:rFonts w:hint="eastAsia" w:ascii="仿宋_GB2312" w:hAnsi="宋体" w:eastAsia="仿宋_GB2312" w:cs="仿宋_GB2312"/>
          <w:b w:val="0"/>
          <w:i w:val="0"/>
          <w:caps w:val="0"/>
          <w:color w:val="auto"/>
          <w:spacing w:val="-6"/>
          <w:sz w:val="27"/>
          <w:szCs w:val="27"/>
          <w:shd w:val="clear" w:fill="FFFFFF"/>
          <w:vertAlign w:val="baseline"/>
          <w:lang w:val="en-US" w:eastAsia="zh-CN"/>
        </w:rPr>
      </w:pPr>
      <w:r>
        <w:rPr>
          <w:rFonts w:hint="eastAsia" w:ascii="仿宋_GB2312" w:hAnsi="宋体" w:eastAsia="仿宋_GB2312" w:cs="仿宋_GB2312"/>
          <w:b/>
          <w:bCs/>
          <w:i w:val="0"/>
          <w:caps w:val="0"/>
          <w:color w:val="auto"/>
          <w:spacing w:val="-6"/>
          <w:sz w:val="27"/>
          <w:szCs w:val="27"/>
          <w:shd w:val="clear" w:fill="FFFFFF"/>
          <w:vertAlign w:val="baseline"/>
          <w:lang w:val="en-US" w:eastAsia="zh-CN"/>
        </w:rPr>
        <w:t>注释：</w:t>
      </w:r>
      <w:r>
        <w:rPr>
          <w:rFonts w:hint="default" w:ascii="仿宋_GB2312" w:hAnsi="宋体" w:eastAsia="仿宋_GB2312" w:cs="仿宋_GB2312"/>
          <w:b w:val="0"/>
          <w:i w:val="0"/>
          <w:caps w:val="0"/>
          <w:color w:val="auto"/>
          <w:spacing w:val="-6"/>
          <w:sz w:val="27"/>
          <w:szCs w:val="27"/>
          <w:shd w:val="clear" w:fill="FFFFFF"/>
          <w:vertAlign w:val="baseline"/>
          <w:lang w:val="en-US" w:eastAsia="zh-CN"/>
        </w:rPr>
        <w:t>[</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1</w:t>
      </w:r>
      <w:r>
        <w:rPr>
          <w:rFonts w:hint="default" w:ascii="仿宋_GB2312" w:hAnsi="宋体" w:eastAsia="仿宋_GB2312" w:cs="仿宋_GB2312"/>
          <w:b w:val="0"/>
          <w:i w:val="0"/>
          <w:caps w:val="0"/>
          <w:color w:val="auto"/>
          <w:spacing w:val="-6"/>
          <w:sz w:val="27"/>
          <w:szCs w:val="27"/>
          <w:shd w:val="clear" w:fill="FFFFFF"/>
          <w:vertAlign w:val="baseline"/>
          <w:lang w:val="en-US" w:eastAsia="zh-CN"/>
        </w:rPr>
        <w:t>]</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本公报中数据为初步统计数。部分数据因四舍五入的原因，存在总计与分项合计不等的情况。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6" w:firstLineChars="200"/>
        <w:jc w:val="both"/>
        <w:textAlignment w:val="auto"/>
        <w:rPr>
          <w:rFonts w:hint="eastAsia" w:ascii="仿宋_GB2312" w:hAnsi="宋体" w:eastAsia="仿宋_GB2312" w:cs="仿宋_GB2312"/>
          <w:b w:val="0"/>
          <w:i w:val="0"/>
          <w:caps w:val="0"/>
          <w:color w:val="auto"/>
          <w:spacing w:val="-6"/>
          <w:sz w:val="27"/>
          <w:szCs w:val="27"/>
          <w:shd w:val="clear" w:fill="FFFFFF"/>
          <w:vertAlign w:val="baseline"/>
          <w:lang w:val="en-US" w:eastAsia="zh-CN"/>
        </w:rPr>
      </w:pPr>
      <w:r>
        <w:rPr>
          <w:rFonts w:hint="eastAsia" w:ascii="仿宋_GB2312" w:hAnsi="宋体" w:eastAsia="仿宋_GB2312" w:cs="仿宋_GB2312"/>
          <w:b w:val="0"/>
          <w:i w:val="0"/>
          <w:caps w:val="0"/>
          <w:color w:val="auto"/>
          <w:spacing w:val="-6"/>
          <w:sz w:val="27"/>
          <w:szCs w:val="27"/>
          <w:shd w:val="clear" w:fill="FFFFFF"/>
          <w:vertAlign w:val="baseline"/>
          <w:lang w:val="en-US" w:eastAsia="zh-CN"/>
        </w:rPr>
        <w:t>[2]地区生产总值（GDP）、各产业增加值绝对数为含兵团数据，按现价计算，增长速度按不变价格计算。</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6" w:firstLineChars="200"/>
        <w:jc w:val="both"/>
        <w:textAlignment w:val="auto"/>
        <w:rPr>
          <w:rFonts w:hint="default" w:ascii="仿宋_GB2312" w:hAnsi="宋体" w:eastAsia="仿宋_GB2312" w:cs="仿宋_GB2312"/>
          <w:b w:val="0"/>
          <w:i w:val="0"/>
          <w:caps w:val="0"/>
          <w:color w:val="auto"/>
          <w:spacing w:val="-6"/>
          <w:sz w:val="27"/>
          <w:szCs w:val="27"/>
          <w:shd w:val="clear" w:fill="FFFFFF"/>
          <w:vertAlign w:val="baseline"/>
          <w:lang w:val="en-US" w:eastAsia="zh-CN"/>
        </w:rPr>
      </w:pPr>
      <w:r>
        <w:rPr>
          <w:rFonts w:hint="eastAsia" w:ascii="仿宋_GB2312" w:hAnsi="宋体" w:eastAsia="仿宋_GB2312" w:cs="仿宋_GB2312"/>
          <w:b w:val="0"/>
          <w:i w:val="0"/>
          <w:caps w:val="0"/>
          <w:color w:val="auto"/>
          <w:spacing w:val="-6"/>
          <w:sz w:val="27"/>
          <w:szCs w:val="27"/>
          <w:shd w:val="clear" w:fill="FFFFFF"/>
          <w:vertAlign w:val="baseline"/>
          <w:lang w:val="en-US" w:eastAsia="zh-CN"/>
        </w:rPr>
        <w:t>[3]农业、规模以上工业、</w:t>
      </w:r>
      <w:r>
        <w:rPr>
          <w:rFonts w:hint="eastAsia" w:ascii="仿宋_GB2312" w:hAnsi="宋体" w:eastAsia="仿宋_GB2312" w:cs="仿宋_GB2312"/>
          <w:b w:val="0"/>
          <w:i w:val="0"/>
          <w:caps w:val="0"/>
          <w:color w:val="auto"/>
          <w:spacing w:val="-6"/>
          <w:sz w:val="27"/>
          <w:szCs w:val="27"/>
          <w:shd w:val="clear" w:fill="FFFFFF"/>
          <w:vertAlign w:val="baseline"/>
          <w:lang w:val="zh-CN" w:eastAsia="zh-CN"/>
        </w:rPr>
        <w:t>县内</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建筑业、邮政业、车辆、通讯、国内贸易、固定资产投资、财政、科学技术、教育、卫生、文化、旅游、体育、居民收入和社会保障、乡村振兴、自然资源、环境和应急管理、劳动就业及社会保障数据不含兵团。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8" w:firstLineChars="200"/>
        <w:jc w:val="both"/>
        <w:textAlignment w:val="auto"/>
        <w:rPr>
          <w:rFonts w:hint="eastAsia" w:ascii="仿宋_GB2312" w:hAnsi="宋体" w:eastAsia="仿宋_GB2312"/>
          <w:color w:val="auto"/>
          <w:kern w:val="10"/>
          <w:sz w:val="32"/>
          <w:szCs w:val="32"/>
          <w:lang w:eastAsia="zh-CN"/>
        </w:rPr>
      </w:pPr>
      <w:r>
        <w:rPr>
          <w:rFonts w:hint="default" w:ascii="仿宋_GB2312" w:hAnsi="宋体" w:eastAsia="仿宋_GB2312" w:cs="仿宋_GB2312"/>
          <w:b/>
          <w:bCs/>
          <w:i w:val="0"/>
          <w:caps w:val="0"/>
          <w:color w:val="auto"/>
          <w:spacing w:val="-6"/>
          <w:sz w:val="27"/>
          <w:szCs w:val="27"/>
          <w:shd w:val="clear" w:fill="FFFFFF"/>
          <w:vertAlign w:val="baseline"/>
        </w:rPr>
        <w:t>资料来源：</w:t>
      </w:r>
      <w:r>
        <w:rPr>
          <w:rFonts w:hint="default" w:ascii="仿宋_GB2312" w:hAnsi="宋体" w:eastAsia="仿宋_GB2312" w:cs="仿宋_GB2312"/>
          <w:b w:val="0"/>
          <w:i w:val="0"/>
          <w:caps w:val="0"/>
          <w:color w:val="auto"/>
          <w:spacing w:val="-6"/>
          <w:sz w:val="27"/>
          <w:szCs w:val="27"/>
          <w:shd w:val="clear" w:fill="FFFFFF"/>
          <w:vertAlign w:val="baseline"/>
        </w:rPr>
        <w:t>本公报中主要经济指标数据来源于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统计局，其他数据来源于相关部门。其中，</w:t>
      </w:r>
      <w:r>
        <w:rPr>
          <w:rFonts w:hint="eastAsia" w:ascii="仿宋_GB2312" w:hAnsi="宋体" w:eastAsia="仿宋_GB2312" w:cs="仿宋_GB2312"/>
          <w:b w:val="0"/>
          <w:i w:val="0"/>
          <w:caps w:val="0"/>
          <w:color w:val="auto"/>
          <w:spacing w:val="-6"/>
          <w:sz w:val="27"/>
          <w:szCs w:val="27"/>
          <w:shd w:val="clear" w:fill="FFFFFF"/>
          <w:vertAlign w:val="baseline"/>
          <w:lang w:eastAsia="zh-CN"/>
        </w:rPr>
        <w:t>粮食作物的面积和产量、畜牧数据来源于地区调查队，城镇水热普及、污水处理、生活垃圾数据来源于裕民县住建局；农业机械动力数据来源于裕民县农业农村局；灌溉面积、供水量数据来源于裕民县水利局；交通、邮政数据来源于裕民县交通运输局；通讯</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裕民县电信、联通、移动公司；</w:t>
      </w:r>
      <w:r>
        <w:rPr>
          <w:rFonts w:hint="default" w:ascii="仿宋_GB2312" w:hAnsi="宋体" w:eastAsia="仿宋_GB2312" w:cs="仿宋_GB2312"/>
          <w:b w:val="0"/>
          <w:i w:val="0"/>
          <w:caps w:val="0"/>
          <w:color w:val="auto"/>
          <w:spacing w:val="-6"/>
          <w:sz w:val="27"/>
          <w:szCs w:val="27"/>
          <w:shd w:val="clear" w:fill="FFFFFF"/>
          <w:vertAlign w:val="baseline"/>
          <w:lang w:eastAsia="zh-CN"/>
        </w:rPr>
        <w:t>教育</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科技</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裕民县教育和科学技术局</w:t>
      </w:r>
      <w:r>
        <w:rPr>
          <w:rFonts w:hint="default" w:ascii="仿宋_GB2312" w:hAnsi="宋体" w:eastAsia="仿宋_GB2312" w:cs="仿宋_GB2312"/>
          <w:b w:val="0"/>
          <w:i w:val="0"/>
          <w:caps w:val="0"/>
          <w:color w:val="auto"/>
          <w:spacing w:val="-6"/>
          <w:sz w:val="27"/>
          <w:szCs w:val="27"/>
          <w:shd w:val="clear" w:fill="FFFFFF"/>
          <w:vertAlign w:val="baseline"/>
          <w:lang w:eastAsia="zh-CN"/>
        </w:rPr>
        <w:t>；卫生数据</w:t>
      </w:r>
      <w:r>
        <w:rPr>
          <w:rFonts w:hint="default" w:ascii="仿宋_GB2312" w:hAnsi="宋体" w:eastAsia="仿宋_GB2312" w:cs="仿宋_GB2312"/>
          <w:b w:val="0"/>
          <w:i w:val="0"/>
          <w:caps w:val="0"/>
          <w:color w:val="auto"/>
          <w:spacing w:val="-6"/>
          <w:sz w:val="27"/>
          <w:szCs w:val="27"/>
          <w:shd w:val="clear" w:fill="FFFFFF"/>
          <w:vertAlign w:val="baseline"/>
        </w:rPr>
        <w:t>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卫生健康委员会；旅游</w:t>
      </w:r>
      <w:r>
        <w:rPr>
          <w:rFonts w:hint="eastAsia" w:ascii="仿宋_GB2312" w:hAnsi="宋体" w:eastAsia="仿宋_GB2312" w:cs="仿宋_GB2312"/>
          <w:b w:val="0"/>
          <w:i w:val="0"/>
          <w:caps w:val="0"/>
          <w:color w:val="auto"/>
          <w:spacing w:val="-6"/>
          <w:sz w:val="27"/>
          <w:szCs w:val="27"/>
          <w:shd w:val="clear" w:fill="FFFFFF"/>
          <w:vertAlign w:val="baseline"/>
          <w:lang w:eastAsia="zh-CN"/>
        </w:rPr>
        <w:t>、文化、</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体育</w:t>
      </w:r>
      <w:r>
        <w:rPr>
          <w:rFonts w:hint="eastAsia" w:ascii="仿宋_GB2312" w:hAnsi="宋体" w:eastAsia="仿宋_GB2312" w:cs="仿宋_GB2312"/>
          <w:b w:val="0"/>
          <w:i w:val="0"/>
          <w:caps w:val="0"/>
          <w:color w:val="auto"/>
          <w:spacing w:val="-6"/>
          <w:sz w:val="27"/>
          <w:szCs w:val="27"/>
          <w:shd w:val="clear" w:fill="FFFFFF"/>
          <w:vertAlign w:val="baseline"/>
          <w:lang w:eastAsia="zh-CN"/>
        </w:rPr>
        <w:t>数据</w:t>
      </w:r>
      <w:r>
        <w:rPr>
          <w:rFonts w:hint="default" w:ascii="仿宋_GB2312" w:hAnsi="宋体" w:eastAsia="仿宋_GB2312" w:cs="仿宋_GB2312"/>
          <w:b w:val="0"/>
          <w:i w:val="0"/>
          <w:caps w:val="0"/>
          <w:color w:val="auto"/>
          <w:spacing w:val="-6"/>
          <w:sz w:val="27"/>
          <w:szCs w:val="27"/>
          <w:shd w:val="clear" w:fill="FFFFFF"/>
          <w:vertAlign w:val="baseline"/>
        </w:rPr>
        <w:t>来源于</w:t>
      </w:r>
      <w:r>
        <w:rPr>
          <w:rFonts w:hint="eastAsia" w:ascii="仿宋_GB2312" w:hAnsi="宋体" w:eastAsia="仿宋_GB2312" w:cs="仿宋_GB2312"/>
          <w:b w:val="0"/>
          <w:i w:val="0"/>
          <w:caps w:val="0"/>
          <w:color w:val="auto"/>
          <w:spacing w:val="-6"/>
          <w:sz w:val="27"/>
          <w:szCs w:val="27"/>
          <w:shd w:val="clear" w:fill="FFFFFF"/>
          <w:vertAlign w:val="baseline"/>
        </w:rPr>
        <w:t>裕民县文化体育广播电视和旅游</w:t>
      </w:r>
      <w:r>
        <w:rPr>
          <w:rFonts w:hint="eastAsia" w:ascii="仿宋_GB2312" w:hAnsi="宋体" w:eastAsia="仿宋_GB2312" w:cs="仿宋_GB2312"/>
          <w:b w:val="0"/>
          <w:i w:val="0"/>
          <w:caps w:val="0"/>
          <w:color w:val="auto"/>
          <w:spacing w:val="-6"/>
          <w:sz w:val="27"/>
          <w:szCs w:val="27"/>
          <w:shd w:val="clear" w:fill="FFFFFF"/>
          <w:vertAlign w:val="baseline"/>
          <w:lang w:eastAsia="zh-CN"/>
        </w:rPr>
        <w:t>局及裕民县宣传部</w:t>
      </w:r>
      <w:r>
        <w:rPr>
          <w:rFonts w:hint="default" w:ascii="仿宋_GB2312" w:hAnsi="宋体" w:eastAsia="仿宋_GB2312" w:cs="仿宋_GB2312"/>
          <w:b w:val="0"/>
          <w:i w:val="0"/>
          <w:caps w:val="0"/>
          <w:color w:val="auto"/>
          <w:spacing w:val="-6"/>
          <w:sz w:val="27"/>
          <w:szCs w:val="27"/>
          <w:shd w:val="clear" w:fill="FFFFFF"/>
          <w:vertAlign w:val="baseline"/>
        </w:rPr>
        <w:t>；财政数据来源于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裕民县财政局</w:t>
      </w:r>
      <w:r>
        <w:rPr>
          <w:rFonts w:hint="default" w:ascii="仿宋_GB2312" w:hAnsi="宋体" w:eastAsia="仿宋_GB2312" w:cs="仿宋_GB2312"/>
          <w:b w:val="0"/>
          <w:i w:val="0"/>
          <w:caps w:val="0"/>
          <w:color w:val="auto"/>
          <w:spacing w:val="-6"/>
          <w:sz w:val="27"/>
          <w:szCs w:val="27"/>
          <w:shd w:val="clear" w:fill="FFFFFF"/>
          <w:vertAlign w:val="baseline"/>
        </w:rPr>
        <w:t>；金融信贷数</w:t>
      </w:r>
      <w:r>
        <w:rPr>
          <w:rFonts w:hint="default" w:ascii="仿宋_GB2312" w:hAnsi="宋体" w:eastAsia="仿宋_GB2312" w:cs="仿宋_GB2312"/>
          <w:b w:val="0"/>
          <w:i w:val="0"/>
          <w:caps w:val="0"/>
          <w:color w:val="auto"/>
          <w:spacing w:val="-6"/>
          <w:sz w:val="27"/>
          <w:szCs w:val="27"/>
          <w:shd w:val="clear" w:fill="FFFFFF"/>
          <w:vertAlign w:val="baseline"/>
          <w:lang w:eastAsia="zh-CN"/>
        </w:rPr>
        <w:t>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塔城地区统计局</w:t>
      </w:r>
      <w:r>
        <w:rPr>
          <w:rFonts w:hint="default" w:ascii="仿宋_GB2312" w:hAnsi="宋体" w:eastAsia="仿宋_GB2312" w:cs="仿宋_GB2312"/>
          <w:b w:val="0"/>
          <w:i w:val="0"/>
          <w:caps w:val="0"/>
          <w:color w:val="auto"/>
          <w:spacing w:val="-6"/>
          <w:sz w:val="27"/>
          <w:szCs w:val="27"/>
          <w:shd w:val="clear" w:fill="FFFFFF"/>
          <w:vertAlign w:val="baseline"/>
          <w:lang w:eastAsia="zh-CN"/>
        </w:rPr>
        <w:t>；</w:t>
      </w:r>
      <w:r>
        <w:rPr>
          <w:rFonts w:hint="eastAsia" w:ascii="仿宋_GB2312" w:hAnsi="宋体" w:eastAsia="仿宋_GB2312" w:cs="仿宋_GB2312"/>
          <w:b w:val="0"/>
          <w:i w:val="0"/>
          <w:caps w:val="0"/>
          <w:color w:val="auto"/>
          <w:spacing w:val="-6"/>
          <w:sz w:val="27"/>
          <w:szCs w:val="27"/>
          <w:shd w:val="clear" w:fill="FFFFFF"/>
          <w:vertAlign w:val="baseline"/>
          <w:lang w:eastAsia="zh-CN"/>
        </w:rPr>
        <w:t>知识产权数据来源于裕民县市场监督管理局；乡村振兴</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裕民县乡村振兴局</w:t>
      </w:r>
      <w:r>
        <w:rPr>
          <w:rFonts w:hint="default" w:ascii="仿宋_GB2312" w:hAnsi="宋体" w:eastAsia="仿宋_GB2312" w:cs="仿宋_GB2312"/>
          <w:b w:val="0"/>
          <w:i w:val="0"/>
          <w:caps w:val="0"/>
          <w:color w:val="auto"/>
          <w:spacing w:val="-6"/>
          <w:sz w:val="27"/>
          <w:szCs w:val="27"/>
          <w:shd w:val="clear" w:fill="FFFFFF"/>
          <w:vertAlign w:val="baseline"/>
          <w:lang w:eastAsia="zh-CN"/>
        </w:rPr>
        <w:t>；</w:t>
      </w:r>
      <w:r>
        <w:rPr>
          <w:rFonts w:hint="eastAsia" w:ascii="仿宋_GB2312" w:hAnsi="宋体" w:eastAsia="仿宋_GB2312" w:cs="仿宋_GB2312"/>
          <w:b w:val="0"/>
          <w:i w:val="0"/>
          <w:caps w:val="0"/>
          <w:color w:val="auto"/>
          <w:spacing w:val="-6"/>
          <w:sz w:val="27"/>
          <w:szCs w:val="27"/>
          <w:shd w:val="clear" w:fill="FFFFFF"/>
          <w:vertAlign w:val="baseline"/>
          <w:lang w:eastAsia="zh-CN"/>
        </w:rPr>
        <w:t>物流、交通数据来源于裕民县交通运输局；就业、登记失业率、社会保险、劳动监察</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人力资源和社会保障</w:t>
      </w:r>
      <w:r>
        <w:rPr>
          <w:rFonts w:hint="eastAsia" w:ascii="仿宋_GB2312" w:hAnsi="宋体" w:eastAsia="仿宋_GB2312" w:cs="仿宋_GB2312"/>
          <w:b w:val="0"/>
          <w:i w:val="0"/>
          <w:caps w:val="0"/>
          <w:color w:val="auto"/>
          <w:spacing w:val="-6"/>
          <w:sz w:val="27"/>
          <w:szCs w:val="27"/>
          <w:shd w:val="clear" w:fill="FFFFFF"/>
          <w:vertAlign w:val="baseline"/>
          <w:lang w:eastAsia="zh-CN"/>
        </w:rPr>
        <w:t>局</w:t>
      </w:r>
      <w:r>
        <w:rPr>
          <w:rFonts w:hint="default" w:ascii="仿宋_GB2312" w:hAnsi="宋体" w:eastAsia="仿宋_GB2312" w:cs="仿宋_GB2312"/>
          <w:b w:val="0"/>
          <w:i w:val="0"/>
          <w:caps w:val="0"/>
          <w:color w:val="auto"/>
          <w:spacing w:val="-6"/>
          <w:sz w:val="27"/>
          <w:szCs w:val="27"/>
          <w:shd w:val="clear" w:fill="FFFFFF"/>
          <w:vertAlign w:val="baseline"/>
          <w:lang w:eastAsia="zh-CN"/>
        </w:rPr>
        <w:t>；</w:t>
      </w:r>
      <w:r>
        <w:rPr>
          <w:rFonts w:hint="eastAsia" w:ascii="仿宋_GB2312" w:hAnsi="宋体" w:eastAsia="仿宋_GB2312" w:cs="仿宋_GB2312"/>
          <w:b w:val="0"/>
          <w:i w:val="0"/>
          <w:caps w:val="0"/>
          <w:color w:val="auto"/>
          <w:spacing w:val="-6"/>
          <w:sz w:val="27"/>
          <w:szCs w:val="27"/>
          <w:shd w:val="clear" w:fill="FFFFFF"/>
          <w:vertAlign w:val="baseline"/>
          <w:lang w:eastAsia="zh-CN"/>
        </w:rPr>
        <w:t>低保、救助数据来源于裕民县民政局；医疗救助、</w:t>
      </w:r>
      <w:r>
        <w:rPr>
          <w:rFonts w:hint="default" w:ascii="仿宋_GB2312" w:hAnsi="宋体" w:eastAsia="仿宋_GB2312" w:cs="仿宋_GB2312"/>
          <w:b w:val="0"/>
          <w:i w:val="0"/>
          <w:caps w:val="0"/>
          <w:color w:val="auto"/>
          <w:spacing w:val="-6"/>
          <w:sz w:val="27"/>
          <w:szCs w:val="27"/>
          <w:shd w:val="clear" w:fill="FFFFFF"/>
          <w:vertAlign w:val="baseline"/>
          <w:lang w:eastAsia="zh-CN"/>
        </w:rPr>
        <w:t>医</w:t>
      </w:r>
      <w:r>
        <w:rPr>
          <w:rFonts w:hint="default" w:ascii="仿宋_GB2312" w:hAnsi="宋体" w:eastAsia="仿宋_GB2312" w:cs="仿宋_GB2312"/>
          <w:b w:val="0"/>
          <w:i w:val="0"/>
          <w:caps w:val="0"/>
          <w:color w:val="auto"/>
          <w:spacing w:val="-6"/>
          <w:sz w:val="27"/>
          <w:szCs w:val="27"/>
          <w:shd w:val="clear" w:fill="FFFFFF"/>
          <w:vertAlign w:val="baseline"/>
        </w:rPr>
        <w:t>疗保险数据来源于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医疗保障局；</w:t>
      </w:r>
      <w:r>
        <w:rPr>
          <w:rFonts w:hint="eastAsia" w:ascii="仿宋_GB2312" w:hAnsi="宋体" w:eastAsia="仿宋_GB2312" w:cs="仿宋_GB2312"/>
          <w:b w:val="0"/>
          <w:i w:val="0"/>
          <w:caps w:val="0"/>
          <w:color w:val="auto"/>
          <w:spacing w:val="-6"/>
          <w:sz w:val="27"/>
          <w:szCs w:val="27"/>
          <w:shd w:val="clear" w:fill="FFFFFF"/>
          <w:vertAlign w:val="baseline"/>
          <w:lang w:eastAsia="zh-CN"/>
        </w:rPr>
        <w:t>林业、矿产情况来源于裕民县自然资源局；</w:t>
      </w:r>
      <w:r>
        <w:rPr>
          <w:rFonts w:hint="default" w:ascii="仿宋_GB2312" w:hAnsi="宋体" w:eastAsia="仿宋_GB2312" w:cs="仿宋_GB2312"/>
          <w:b w:val="0"/>
          <w:i w:val="0"/>
          <w:caps w:val="0"/>
          <w:color w:val="auto"/>
          <w:spacing w:val="-6"/>
          <w:sz w:val="27"/>
          <w:szCs w:val="27"/>
          <w:shd w:val="clear" w:fill="FFFFFF"/>
          <w:vertAlign w:val="baseline"/>
        </w:rPr>
        <w:t>环境监测及自然保护区数据来源于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塔城地区</w:t>
      </w:r>
      <w:r>
        <w:rPr>
          <w:rFonts w:hint="default" w:ascii="仿宋_GB2312" w:hAnsi="宋体" w:eastAsia="仿宋_GB2312" w:cs="仿宋_GB2312"/>
          <w:b w:val="0"/>
          <w:i w:val="0"/>
          <w:caps w:val="0"/>
          <w:color w:val="auto"/>
          <w:spacing w:val="-6"/>
          <w:sz w:val="27"/>
          <w:szCs w:val="27"/>
          <w:shd w:val="clear" w:fill="FFFFFF"/>
          <w:vertAlign w:val="baseline"/>
        </w:rPr>
        <w:t>生态环境</w:t>
      </w:r>
      <w:r>
        <w:rPr>
          <w:rFonts w:hint="eastAsia" w:ascii="仿宋_GB2312" w:hAnsi="宋体" w:eastAsia="仿宋_GB2312" w:cs="仿宋_GB2312"/>
          <w:b w:val="0"/>
          <w:i w:val="0"/>
          <w:caps w:val="0"/>
          <w:color w:val="auto"/>
          <w:spacing w:val="-6"/>
          <w:sz w:val="27"/>
          <w:szCs w:val="27"/>
          <w:shd w:val="clear" w:fill="FFFFFF"/>
          <w:vertAlign w:val="baseline"/>
          <w:lang w:eastAsia="zh-CN"/>
        </w:rPr>
        <w:t>局（裕民县分局）</w:t>
      </w:r>
      <w:r>
        <w:rPr>
          <w:rFonts w:hint="default" w:ascii="仿宋_GB2312" w:hAnsi="宋体" w:eastAsia="仿宋_GB2312" w:cs="仿宋_GB2312"/>
          <w:b w:val="0"/>
          <w:i w:val="0"/>
          <w:caps w:val="0"/>
          <w:color w:val="auto"/>
          <w:spacing w:val="-6"/>
          <w:sz w:val="27"/>
          <w:szCs w:val="27"/>
          <w:shd w:val="clear" w:fill="FFFFFF"/>
          <w:vertAlign w:val="baseline"/>
        </w:rPr>
        <w:t>；安全生产数据来源于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裕民县应急管理局</w:t>
      </w:r>
      <w:r>
        <w:rPr>
          <w:rFonts w:hint="default" w:ascii="仿宋_GB2312" w:hAnsi="宋体" w:eastAsia="仿宋_GB2312" w:cs="仿宋_GB2312"/>
          <w:b w:val="0"/>
          <w:i w:val="0"/>
          <w:caps w:val="0"/>
          <w:color w:val="auto"/>
          <w:spacing w:val="-6"/>
          <w:sz w:val="27"/>
          <w:szCs w:val="27"/>
          <w:shd w:val="clear" w:fill="FFFFFF"/>
          <w:vertAlign w:val="baseline"/>
        </w:rPr>
        <w:t>。</w:t>
      </w:r>
      <w:r>
        <w:rPr>
          <w:rFonts w:hint="eastAsia" w:ascii="仿宋_GB2312" w:eastAsia="仿宋_GB2312"/>
          <w:color w:val="auto"/>
          <w:kern w:val="10"/>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olor w:val="auto"/>
          <w:kern w:val="10"/>
          <w:sz w:val="32"/>
          <w:szCs w:val="32"/>
          <w:lang w:val="en-US" w:eastAsia="zh-CN"/>
        </w:rPr>
      </w:pPr>
      <w:r>
        <w:rPr>
          <w:rFonts w:hint="eastAsia" w:ascii="仿宋_GB2312" w:eastAsia="仿宋_GB2312"/>
          <w:color w:val="auto"/>
          <w:kern w:val="10"/>
          <w:sz w:val="32"/>
          <w:szCs w:val="32"/>
          <w:lang w:val="en-US" w:eastAsia="zh-CN"/>
        </w:rPr>
        <w:t xml:space="preserve">                           </w:t>
      </w:r>
      <w:r>
        <w:rPr>
          <w:rFonts w:hint="eastAsia" w:ascii="仿宋_GB2312" w:hAnsi="宋体" w:eastAsia="仿宋_GB2312"/>
          <w:color w:val="auto"/>
          <w:kern w:val="10"/>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5120" w:firstLineChars="1600"/>
        <w:jc w:val="both"/>
        <w:textAlignment w:val="auto"/>
        <w:rPr>
          <w:rFonts w:hint="eastAsia" w:ascii="仿宋_GB2312" w:eastAsia="仿宋_GB2312"/>
          <w:color w:val="auto"/>
          <w:kern w:val="10"/>
          <w:sz w:val="32"/>
          <w:szCs w:val="32"/>
          <w:lang w:val="en-US" w:eastAsia="zh-CN"/>
        </w:rPr>
      </w:pPr>
      <w:r>
        <w:rPr>
          <w:rFonts w:hint="eastAsia" w:ascii="仿宋_GB2312" w:hAnsi="宋体" w:eastAsia="仿宋_GB2312"/>
          <w:color w:val="auto"/>
          <w:kern w:val="10"/>
          <w:sz w:val="32"/>
          <w:szCs w:val="32"/>
          <w:lang w:eastAsia="zh-CN"/>
        </w:rPr>
        <w:t>二〇</w:t>
      </w:r>
      <w:bookmarkStart w:id="0" w:name="_GoBack"/>
      <w:bookmarkEnd w:id="0"/>
      <w:r>
        <w:rPr>
          <w:rFonts w:hint="eastAsia" w:ascii="仿宋_GB2312" w:hAnsi="宋体" w:eastAsia="仿宋_GB2312"/>
          <w:color w:val="auto"/>
          <w:kern w:val="10"/>
          <w:sz w:val="32"/>
          <w:szCs w:val="32"/>
        </w:rPr>
        <w:t>二</w:t>
      </w:r>
      <w:r>
        <w:rPr>
          <w:rFonts w:hint="eastAsia" w:ascii="仿宋_GB2312" w:hAnsi="宋体" w:eastAsia="仿宋_GB2312"/>
          <w:color w:val="auto"/>
          <w:kern w:val="10"/>
          <w:sz w:val="32"/>
          <w:szCs w:val="32"/>
          <w:lang w:eastAsia="zh-CN"/>
        </w:rPr>
        <w:t>四</w:t>
      </w:r>
      <w:r>
        <w:rPr>
          <w:rFonts w:hint="eastAsia" w:ascii="仿宋_GB2312" w:hAnsi="宋体" w:eastAsia="仿宋_GB2312"/>
          <w:color w:val="auto"/>
          <w:kern w:val="10"/>
          <w:sz w:val="32"/>
          <w:szCs w:val="32"/>
        </w:rPr>
        <w:t>年</w:t>
      </w:r>
      <w:r>
        <w:rPr>
          <w:rFonts w:hint="eastAsia" w:ascii="仿宋_GB2312" w:hAnsi="宋体" w:eastAsia="仿宋_GB2312"/>
          <w:color w:val="auto"/>
          <w:kern w:val="10"/>
          <w:sz w:val="32"/>
          <w:szCs w:val="32"/>
          <w:lang w:eastAsia="zh-CN"/>
        </w:rPr>
        <w:t>四</w:t>
      </w:r>
      <w:r>
        <w:rPr>
          <w:rFonts w:hint="eastAsia" w:ascii="仿宋_GB2312" w:hAnsi="宋体" w:eastAsia="仿宋_GB2312"/>
          <w:color w:val="auto"/>
          <w:kern w:val="10"/>
          <w:sz w:val="32"/>
          <w:szCs w:val="32"/>
        </w:rPr>
        <w:t>月</w:t>
      </w:r>
      <w:r>
        <w:rPr>
          <w:rFonts w:hint="eastAsia" w:ascii="仿宋_GB2312" w:hAnsi="宋体" w:eastAsia="仿宋_GB2312"/>
          <w:color w:val="auto"/>
          <w:kern w:val="10"/>
          <w:sz w:val="32"/>
          <w:szCs w:val="32"/>
          <w:lang w:eastAsia="zh-CN"/>
        </w:rPr>
        <w:t>二十四</w:t>
      </w:r>
      <w:r>
        <w:rPr>
          <w:rFonts w:hint="eastAsia" w:ascii="仿宋_GB2312" w:hAnsi="宋体" w:eastAsia="仿宋_GB2312"/>
          <w:color w:val="auto"/>
          <w:kern w:val="10"/>
          <w:sz w:val="32"/>
          <w:szCs w:val="32"/>
        </w:rPr>
        <w:t>日</w:t>
      </w:r>
    </w:p>
    <w:sectPr>
      <w:headerReference r:id="rId3" w:type="default"/>
      <w:footerReference r:id="rId4" w:type="default"/>
      <w:footerReference r:id="rId5" w:type="even"/>
      <w:pgSz w:w="11907" w:h="16840" w:orient="landscape"/>
      <w:pgMar w:top="2098" w:right="1531" w:bottom="1984" w:left="1531" w:header="1417" w:footer="170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Gautami">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2"/>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2"/>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73"/>
        <w:tab w:val="left" w:pos="5714"/>
      </w:tabs>
      <w:spacing w:line="600" w:lineRule="exact"/>
      <w:jc w:val="left"/>
      <w:rPr>
        <w:rFonts w:hint="default" w:eastAsia="宋体"/>
        <w:lang w:val="en-US" w:eastAsia="zh-CN"/>
      </w:rPr>
    </w:pPr>
    <w:r>
      <w:rPr>
        <w:rFonts w:hint="eastAsia"/>
        <w:lang w:val="en-US" w:eastAsia="zh-CN"/>
      </w:rPr>
      <w:tab/>
    </w:r>
    <w:r>
      <w:rPr>
        <w:rFonts w:hint="eastAsia"/>
        <w:lang w:val="en-US" w:eastAsia="zh-CN"/>
      </w:rPr>
      <w:tab/>
    </w:r>
    <w:r>
      <w:rPr>
        <w:rFonts w:hint="eastAsia"/>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printTwoOnOne w:val="1"/>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172A27"/>
    <w:rsid w:val="0001078D"/>
    <w:rsid w:val="00011597"/>
    <w:rsid w:val="000204CB"/>
    <w:rsid w:val="00031336"/>
    <w:rsid w:val="0003795A"/>
    <w:rsid w:val="00050E4D"/>
    <w:rsid w:val="0006442D"/>
    <w:rsid w:val="000773E8"/>
    <w:rsid w:val="000A1FB7"/>
    <w:rsid w:val="000B0E26"/>
    <w:rsid w:val="000B6F7F"/>
    <w:rsid w:val="000D29BE"/>
    <w:rsid w:val="000E79C9"/>
    <w:rsid w:val="000F6946"/>
    <w:rsid w:val="00103242"/>
    <w:rsid w:val="00105C47"/>
    <w:rsid w:val="00156639"/>
    <w:rsid w:val="00160103"/>
    <w:rsid w:val="00172E85"/>
    <w:rsid w:val="0018067F"/>
    <w:rsid w:val="001969EC"/>
    <w:rsid w:val="001A1DD3"/>
    <w:rsid w:val="001C2633"/>
    <w:rsid w:val="001C2B6C"/>
    <w:rsid w:val="001D3A36"/>
    <w:rsid w:val="001D51FC"/>
    <w:rsid w:val="001E030B"/>
    <w:rsid w:val="001E086F"/>
    <w:rsid w:val="001F01C3"/>
    <w:rsid w:val="00200BDC"/>
    <w:rsid w:val="0020307E"/>
    <w:rsid w:val="0020395C"/>
    <w:rsid w:val="00213D0F"/>
    <w:rsid w:val="00217C44"/>
    <w:rsid w:val="00234387"/>
    <w:rsid w:val="00236FCB"/>
    <w:rsid w:val="00241C63"/>
    <w:rsid w:val="002424AC"/>
    <w:rsid w:val="00243CF7"/>
    <w:rsid w:val="00247F64"/>
    <w:rsid w:val="002506A5"/>
    <w:rsid w:val="00251652"/>
    <w:rsid w:val="00262B3B"/>
    <w:rsid w:val="00280847"/>
    <w:rsid w:val="002A34D8"/>
    <w:rsid w:val="00302351"/>
    <w:rsid w:val="0032795E"/>
    <w:rsid w:val="00337AA8"/>
    <w:rsid w:val="00340E4D"/>
    <w:rsid w:val="00351708"/>
    <w:rsid w:val="003860CB"/>
    <w:rsid w:val="003A63DB"/>
    <w:rsid w:val="003A7DA7"/>
    <w:rsid w:val="003C5BFD"/>
    <w:rsid w:val="003D2DC4"/>
    <w:rsid w:val="003E608D"/>
    <w:rsid w:val="003E64AF"/>
    <w:rsid w:val="003E688E"/>
    <w:rsid w:val="004123E9"/>
    <w:rsid w:val="00423689"/>
    <w:rsid w:val="0042709D"/>
    <w:rsid w:val="00440391"/>
    <w:rsid w:val="00445022"/>
    <w:rsid w:val="004475DB"/>
    <w:rsid w:val="0047554F"/>
    <w:rsid w:val="004761E9"/>
    <w:rsid w:val="004852FA"/>
    <w:rsid w:val="0048603D"/>
    <w:rsid w:val="00496F0B"/>
    <w:rsid w:val="004A73A1"/>
    <w:rsid w:val="004B0E1B"/>
    <w:rsid w:val="004B3A1B"/>
    <w:rsid w:val="004C0C55"/>
    <w:rsid w:val="004E3663"/>
    <w:rsid w:val="0051655B"/>
    <w:rsid w:val="005369AD"/>
    <w:rsid w:val="00542099"/>
    <w:rsid w:val="00560744"/>
    <w:rsid w:val="00581086"/>
    <w:rsid w:val="005B0148"/>
    <w:rsid w:val="005B1233"/>
    <w:rsid w:val="005C399F"/>
    <w:rsid w:val="005C7599"/>
    <w:rsid w:val="005D4DB5"/>
    <w:rsid w:val="005F0C3A"/>
    <w:rsid w:val="006369CB"/>
    <w:rsid w:val="00641503"/>
    <w:rsid w:val="00675FF6"/>
    <w:rsid w:val="00691DEA"/>
    <w:rsid w:val="00692060"/>
    <w:rsid w:val="006A4E7F"/>
    <w:rsid w:val="006B0563"/>
    <w:rsid w:val="006B2BA7"/>
    <w:rsid w:val="006D60D9"/>
    <w:rsid w:val="006E061B"/>
    <w:rsid w:val="006E1111"/>
    <w:rsid w:val="006E7EEA"/>
    <w:rsid w:val="00716A5D"/>
    <w:rsid w:val="007327BC"/>
    <w:rsid w:val="00777442"/>
    <w:rsid w:val="0078297D"/>
    <w:rsid w:val="007A2CF3"/>
    <w:rsid w:val="007A5956"/>
    <w:rsid w:val="007B40B4"/>
    <w:rsid w:val="007D2CBB"/>
    <w:rsid w:val="007F378E"/>
    <w:rsid w:val="007F4254"/>
    <w:rsid w:val="008409B6"/>
    <w:rsid w:val="008506B2"/>
    <w:rsid w:val="00877E22"/>
    <w:rsid w:val="0089777B"/>
    <w:rsid w:val="008A4EEF"/>
    <w:rsid w:val="008A7324"/>
    <w:rsid w:val="008D2C9D"/>
    <w:rsid w:val="008E33D7"/>
    <w:rsid w:val="008F626E"/>
    <w:rsid w:val="009042F8"/>
    <w:rsid w:val="00924504"/>
    <w:rsid w:val="00924C90"/>
    <w:rsid w:val="00925BBD"/>
    <w:rsid w:val="0093135F"/>
    <w:rsid w:val="00944E04"/>
    <w:rsid w:val="00952F3D"/>
    <w:rsid w:val="00957F1F"/>
    <w:rsid w:val="00963CEB"/>
    <w:rsid w:val="00964855"/>
    <w:rsid w:val="00975AFA"/>
    <w:rsid w:val="00997DFA"/>
    <w:rsid w:val="009A1838"/>
    <w:rsid w:val="009B6B1A"/>
    <w:rsid w:val="009E34A6"/>
    <w:rsid w:val="009F2423"/>
    <w:rsid w:val="009F3AF8"/>
    <w:rsid w:val="009F6A9A"/>
    <w:rsid w:val="00A0719C"/>
    <w:rsid w:val="00A32D51"/>
    <w:rsid w:val="00A434D3"/>
    <w:rsid w:val="00A565E3"/>
    <w:rsid w:val="00A8106F"/>
    <w:rsid w:val="00A81F91"/>
    <w:rsid w:val="00AA6046"/>
    <w:rsid w:val="00AC1EC1"/>
    <w:rsid w:val="00AE05B0"/>
    <w:rsid w:val="00B1394B"/>
    <w:rsid w:val="00B15644"/>
    <w:rsid w:val="00B820B7"/>
    <w:rsid w:val="00B865D2"/>
    <w:rsid w:val="00B971F0"/>
    <w:rsid w:val="00BA2372"/>
    <w:rsid w:val="00BA3F3B"/>
    <w:rsid w:val="00BB3DA4"/>
    <w:rsid w:val="00BC0259"/>
    <w:rsid w:val="00BD0ACC"/>
    <w:rsid w:val="00BE3D12"/>
    <w:rsid w:val="00BE7F96"/>
    <w:rsid w:val="00C00EC2"/>
    <w:rsid w:val="00C036AF"/>
    <w:rsid w:val="00C108BA"/>
    <w:rsid w:val="00C401DB"/>
    <w:rsid w:val="00C445CA"/>
    <w:rsid w:val="00C64D76"/>
    <w:rsid w:val="00C65484"/>
    <w:rsid w:val="00C74D35"/>
    <w:rsid w:val="00C8282D"/>
    <w:rsid w:val="00CA31FA"/>
    <w:rsid w:val="00CB0EC2"/>
    <w:rsid w:val="00CC2BA9"/>
    <w:rsid w:val="00CE389B"/>
    <w:rsid w:val="00D46D72"/>
    <w:rsid w:val="00D57CBC"/>
    <w:rsid w:val="00D672E3"/>
    <w:rsid w:val="00D740E4"/>
    <w:rsid w:val="00D91D97"/>
    <w:rsid w:val="00DD0EF0"/>
    <w:rsid w:val="00DD6B32"/>
    <w:rsid w:val="00DE7A2D"/>
    <w:rsid w:val="00E01282"/>
    <w:rsid w:val="00E13D8F"/>
    <w:rsid w:val="00E24AFB"/>
    <w:rsid w:val="00E44375"/>
    <w:rsid w:val="00E5255A"/>
    <w:rsid w:val="00E540E0"/>
    <w:rsid w:val="00E54611"/>
    <w:rsid w:val="00E61255"/>
    <w:rsid w:val="00E65742"/>
    <w:rsid w:val="00EA1CA6"/>
    <w:rsid w:val="00EA3137"/>
    <w:rsid w:val="00EB6911"/>
    <w:rsid w:val="00ED5786"/>
    <w:rsid w:val="00F11EE2"/>
    <w:rsid w:val="00F176E5"/>
    <w:rsid w:val="00F23461"/>
    <w:rsid w:val="00F44B65"/>
    <w:rsid w:val="00F50F1D"/>
    <w:rsid w:val="00F85AAD"/>
    <w:rsid w:val="00FB6022"/>
    <w:rsid w:val="00FD6B0B"/>
    <w:rsid w:val="012D1448"/>
    <w:rsid w:val="015C496D"/>
    <w:rsid w:val="017C57EA"/>
    <w:rsid w:val="01907F0D"/>
    <w:rsid w:val="01930BDC"/>
    <w:rsid w:val="019E2B27"/>
    <w:rsid w:val="01AF7EF0"/>
    <w:rsid w:val="01B968D5"/>
    <w:rsid w:val="01C20977"/>
    <w:rsid w:val="01D120C0"/>
    <w:rsid w:val="01D2738F"/>
    <w:rsid w:val="01ED3751"/>
    <w:rsid w:val="0203087C"/>
    <w:rsid w:val="020C3D2D"/>
    <w:rsid w:val="02131041"/>
    <w:rsid w:val="022912AD"/>
    <w:rsid w:val="023D3387"/>
    <w:rsid w:val="023E4083"/>
    <w:rsid w:val="02437FE1"/>
    <w:rsid w:val="026F56FF"/>
    <w:rsid w:val="02811B75"/>
    <w:rsid w:val="02863432"/>
    <w:rsid w:val="028C2DD5"/>
    <w:rsid w:val="02AE5C9F"/>
    <w:rsid w:val="02C45324"/>
    <w:rsid w:val="02CB02AC"/>
    <w:rsid w:val="02DC1024"/>
    <w:rsid w:val="02DC5AC7"/>
    <w:rsid w:val="02FF477B"/>
    <w:rsid w:val="03035C4A"/>
    <w:rsid w:val="03176A7B"/>
    <w:rsid w:val="031B25A3"/>
    <w:rsid w:val="032E7062"/>
    <w:rsid w:val="033B75ED"/>
    <w:rsid w:val="03586FAF"/>
    <w:rsid w:val="036777AB"/>
    <w:rsid w:val="03714C9F"/>
    <w:rsid w:val="037777A1"/>
    <w:rsid w:val="037B3094"/>
    <w:rsid w:val="03864F76"/>
    <w:rsid w:val="03895FB6"/>
    <w:rsid w:val="03A268DB"/>
    <w:rsid w:val="03D73786"/>
    <w:rsid w:val="03DA2566"/>
    <w:rsid w:val="03DA5B6A"/>
    <w:rsid w:val="041E2872"/>
    <w:rsid w:val="04286015"/>
    <w:rsid w:val="042861E6"/>
    <w:rsid w:val="0449232D"/>
    <w:rsid w:val="04776076"/>
    <w:rsid w:val="048037AA"/>
    <w:rsid w:val="04875F68"/>
    <w:rsid w:val="04AB7DC6"/>
    <w:rsid w:val="05115A5B"/>
    <w:rsid w:val="05143817"/>
    <w:rsid w:val="0514412B"/>
    <w:rsid w:val="05492D65"/>
    <w:rsid w:val="055A5B4D"/>
    <w:rsid w:val="056B59C3"/>
    <w:rsid w:val="056C5650"/>
    <w:rsid w:val="05994075"/>
    <w:rsid w:val="05AD4A3D"/>
    <w:rsid w:val="05C01F04"/>
    <w:rsid w:val="05C2436A"/>
    <w:rsid w:val="05F04AEC"/>
    <w:rsid w:val="064A7984"/>
    <w:rsid w:val="064D7F4E"/>
    <w:rsid w:val="067F41B2"/>
    <w:rsid w:val="068D2C1C"/>
    <w:rsid w:val="0696535D"/>
    <w:rsid w:val="06A52459"/>
    <w:rsid w:val="06AD495A"/>
    <w:rsid w:val="06B01F9C"/>
    <w:rsid w:val="06BC35C6"/>
    <w:rsid w:val="06C55353"/>
    <w:rsid w:val="06C7550D"/>
    <w:rsid w:val="06F775C7"/>
    <w:rsid w:val="07275463"/>
    <w:rsid w:val="075501C9"/>
    <w:rsid w:val="07742BB8"/>
    <w:rsid w:val="07791CF1"/>
    <w:rsid w:val="077D66DE"/>
    <w:rsid w:val="07880016"/>
    <w:rsid w:val="07975238"/>
    <w:rsid w:val="079D11C5"/>
    <w:rsid w:val="07D605F0"/>
    <w:rsid w:val="07E0500C"/>
    <w:rsid w:val="086F7329"/>
    <w:rsid w:val="08802537"/>
    <w:rsid w:val="08857D42"/>
    <w:rsid w:val="08891CBB"/>
    <w:rsid w:val="08A479E6"/>
    <w:rsid w:val="08B744B5"/>
    <w:rsid w:val="08E51FC8"/>
    <w:rsid w:val="08FD0DE1"/>
    <w:rsid w:val="090A0487"/>
    <w:rsid w:val="090D3909"/>
    <w:rsid w:val="091076DE"/>
    <w:rsid w:val="092F2652"/>
    <w:rsid w:val="09342743"/>
    <w:rsid w:val="09394AAB"/>
    <w:rsid w:val="09545E2A"/>
    <w:rsid w:val="095C1A8A"/>
    <w:rsid w:val="097011AF"/>
    <w:rsid w:val="098E583A"/>
    <w:rsid w:val="099A053A"/>
    <w:rsid w:val="09B5326E"/>
    <w:rsid w:val="09EF52DD"/>
    <w:rsid w:val="09FC6C8A"/>
    <w:rsid w:val="0A140132"/>
    <w:rsid w:val="0A2620AB"/>
    <w:rsid w:val="0A2E47AF"/>
    <w:rsid w:val="0A501C4C"/>
    <w:rsid w:val="0A680287"/>
    <w:rsid w:val="0A6B6999"/>
    <w:rsid w:val="0A805F04"/>
    <w:rsid w:val="0A822730"/>
    <w:rsid w:val="0A965A6B"/>
    <w:rsid w:val="0A986121"/>
    <w:rsid w:val="0ACE4069"/>
    <w:rsid w:val="0ADE2C8A"/>
    <w:rsid w:val="0AE46DCA"/>
    <w:rsid w:val="0B3417D9"/>
    <w:rsid w:val="0B5833D7"/>
    <w:rsid w:val="0BA81202"/>
    <w:rsid w:val="0BB81D6C"/>
    <w:rsid w:val="0BF52E93"/>
    <w:rsid w:val="0BF9074B"/>
    <w:rsid w:val="0C06599A"/>
    <w:rsid w:val="0C28145C"/>
    <w:rsid w:val="0C2C7465"/>
    <w:rsid w:val="0C34157F"/>
    <w:rsid w:val="0C4953D6"/>
    <w:rsid w:val="0C9030F3"/>
    <w:rsid w:val="0CA44F1E"/>
    <w:rsid w:val="0CA6127E"/>
    <w:rsid w:val="0CB315FB"/>
    <w:rsid w:val="0CE16AED"/>
    <w:rsid w:val="0CE86718"/>
    <w:rsid w:val="0D015DCE"/>
    <w:rsid w:val="0D334A40"/>
    <w:rsid w:val="0D381FCA"/>
    <w:rsid w:val="0D387D7A"/>
    <w:rsid w:val="0D4063F2"/>
    <w:rsid w:val="0D6665B2"/>
    <w:rsid w:val="0D6B6754"/>
    <w:rsid w:val="0D7B3435"/>
    <w:rsid w:val="0D8A3096"/>
    <w:rsid w:val="0DA20149"/>
    <w:rsid w:val="0DB80628"/>
    <w:rsid w:val="0DCE3A2E"/>
    <w:rsid w:val="0DE5047A"/>
    <w:rsid w:val="0DE629B6"/>
    <w:rsid w:val="0E35767E"/>
    <w:rsid w:val="0E493DB7"/>
    <w:rsid w:val="0E5E7A84"/>
    <w:rsid w:val="0E805429"/>
    <w:rsid w:val="0E847715"/>
    <w:rsid w:val="0E8F73B2"/>
    <w:rsid w:val="0EC13ED8"/>
    <w:rsid w:val="0EC35C0D"/>
    <w:rsid w:val="0F050F37"/>
    <w:rsid w:val="0F0B0E1D"/>
    <w:rsid w:val="0F1A4FE3"/>
    <w:rsid w:val="0F231BCD"/>
    <w:rsid w:val="0F596791"/>
    <w:rsid w:val="0F836D39"/>
    <w:rsid w:val="0F955875"/>
    <w:rsid w:val="0FA4419B"/>
    <w:rsid w:val="0FB97D41"/>
    <w:rsid w:val="0FBA3BEA"/>
    <w:rsid w:val="0FFF0EC8"/>
    <w:rsid w:val="10165A07"/>
    <w:rsid w:val="101E2ED7"/>
    <w:rsid w:val="1029238D"/>
    <w:rsid w:val="105C36DF"/>
    <w:rsid w:val="106C196E"/>
    <w:rsid w:val="107B5B2A"/>
    <w:rsid w:val="10AF4667"/>
    <w:rsid w:val="110D5A11"/>
    <w:rsid w:val="11390581"/>
    <w:rsid w:val="114F0CCE"/>
    <w:rsid w:val="115F6585"/>
    <w:rsid w:val="116122F5"/>
    <w:rsid w:val="116F05B6"/>
    <w:rsid w:val="11777322"/>
    <w:rsid w:val="118610AF"/>
    <w:rsid w:val="11A05253"/>
    <w:rsid w:val="11AF05BD"/>
    <w:rsid w:val="11C53045"/>
    <w:rsid w:val="11D44659"/>
    <w:rsid w:val="11FA4F63"/>
    <w:rsid w:val="11FD6F3E"/>
    <w:rsid w:val="1213490F"/>
    <w:rsid w:val="121551D7"/>
    <w:rsid w:val="121658E6"/>
    <w:rsid w:val="12227312"/>
    <w:rsid w:val="124338A2"/>
    <w:rsid w:val="125D0793"/>
    <w:rsid w:val="12606629"/>
    <w:rsid w:val="12897305"/>
    <w:rsid w:val="12AC6D5A"/>
    <w:rsid w:val="12B04559"/>
    <w:rsid w:val="12DD0966"/>
    <w:rsid w:val="12EC09A4"/>
    <w:rsid w:val="131C0DF9"/>
    <w:rsid w:val="13326C23"/>
    <w:rsid w:val="135730E4"/>
    <w:rsid w:val="135B2E29"/>
    <w:rsid w:val="138A25C9"/>
    <w:rsid w:val="13A17D27"/>
    <w:rsid w:val="13C51CBC"/>
    <w:rsid w:val="13C6320E"/>
    <w:rsid w:val="14024159"/>
    <w:rsid w:val="140612C4"/>
    <w:rsid w:val="141A3F3D"/>
    <w:rsid w:val="1420242F"/>
    <w:rsid w:val="14266239"/>
    <w:rsid w:val="14290679"/>
    <w:rsid w:val="14367A99"/>
    <w:rsid w:val="14414CE8"/>
    <w:rsid w:val="144B472A"/>
    <w:rsid w:val="144F30BA"/>
    <w:rsid w:val="145D4746"/>
    <w:rsid w:val="146134DC"/>
    <w:rsid w:val="14781564"/>
    <w:rsid w:val="147C7FF5"/>
    <w:rsid w:val="14BB7F07"/>
    <w:rsid w:val="14BD26A5"/>
    <w:rsid w:val="14D40135"/>
    <w:rsid w:val="14D71B8E"/>
    <w:rsid w:val="14E4737F"/>
    <w:rsid w:val="14F06D4A"/>
    <w:rsid w:val="14F3730D"/>
    <w:rsid w:val="154E24F7"/>
    <w:rsid w:val="156D6408"/>
    <w:rsid w:val="157B794C"/>
    <w:rsid w:val="15893A84"/>
    <w:rsid w:val="15912799"/>
    <w:rsid w:val="15B62070"/>
    <w:rsid w:val="15CD2C19"/>
    <w:rsid w:val="15D47337"/>
    <w:rsid w:val="15D57716"/>
    <w:rsid w:val="15D6374C"/>
    <w:rsid w:val="15DE75E9"/>
    <w:rsid w:val="15F426F1"/>
    <w:rsid w:val="15F96844"/>
    <w:rsid w:val="16041F16"/>
    <w:rsid w:val="16061208"/>
    <w:rsid w:val="16370B7B"/>
    <w:rsid w:val="16472600"/>
    <w:rsid w:val="16640A31"/>
    <w:rsid w:val="166F0C43"/>
    <w:rsid w:val="1675419A"/>
    <w:rsid w:val="16AC68EA"/>
    <w:rsid w:val="16CA7670"/>
    <w:rsid w:val="17124DC1"/>
    <w:rsid w:val="171A4010"/>
    <w:rsid w:val="172C66DC"/>
    <w:rsid w:val="175D1E7F"/>
    <w:rsid w:val="175E3A2F"/>
    <w:rsid w:val="176A47EF"/>
    <w:rsid w:val="17820B7E"/>
    <w:rsid w:val="179200B0"/>
    <w:rsid w:val="1799725D"/>
    <w:rsid w:val="179B3D19"/>
    <w:rsid w:val="17A84E82"/>
    <w:rsid w:val="17AA13A6"/>
    <w:rsid w:val="17D63468"/>
    <w:rsid w:val="17D96659"/>
    <w:rsid w:val="17E17D7F"/>
    <w:rsid w:val="17F031BF"/>
    <w:rsid w:val="17FB5CC4"/>
    <w:rsid w:val="1819706B"/>
    <w:rsid w:val="18237005"/>
    <w:rsid w:val="185B4EB4"/>
    <w:rsid w:val="18797381"/>
    <w:rsid w:val="187D19CF"/>
    <w:rsid w:val="188F3490"/>
    <w:rsid w:val="189A62FD"/>
    <w:rsid w:val="189B4164"/>
    <w:rsid w:val="189C4B9A"/>
    <w:rsid w:val="18AE7CF8"/>
    <w:rsid w:val="18BD77A8"/>
    <w:rsid w:val="18E74938"/>
    <w:rsid w:val="191137F6"/>
    <w:rsid w:val="19254057"/>
    <w:rsid w:val="19DB4947"/>
    <w:rsid w:val="19F002E6"/>
    <w:rsid w:val="19F60EB3"/>
    <w:rsid w:val="1A127E18"/>
    <w:rsid w:val="1A1728CB"/>
    <w:rsid w:val="1A6C7169"/>
    <w:rsid w:val="1A79170D"/>
    <w:rsid w:val="1AA62192"/>
    <w:rsid w:val="1ACD2447"/>
    <w:rsid w:val="1AE13554"/>
    <w:rsid w:val="1B19472E"/>
    <w:rsid w:val="1B251752"/>
    <w:rsid w:val="1B5B4496"/>
    <w:rsid w:val="1B6A1018"/>
    <w:rsid w:val="1B870C9D"/>
    <w:rsid w:val="1B8D2D46"/>
    <w:rsid w:val="1B945970"/>
    <w:rsid w:val="1BC4550E"/>
    <w:rsid w:val="1C2172FC"/>
    <w:rsid w:val="1C277022"/>
    <w:rsid w:val="1C3E605F"/>
    <w:rsid w:val="1C451C46"/>
    <w:rsid w:val="1C54066B"/>
    <w:rsid w:val="1C6104B5"/>
    <w:rsid w:val="1C715851"/>
    <w:rsid w:val="1C7F6DD2"/>
    <w:rsid w:val="1CD7429D"/>
    <w:rsid w:val="1CEB5582"/>
    <w:rsid w:val="1D1850A8"/>
    <w:rsid w:val="1D4757FD"/>
    <w:rsid w:val="1D86287B"/>
    <w:rsid w:val="1D885C11"/>
    <w:rsid w:val="1DAD470E"/>
    <w:rsid w:val="1DB50768"/>
    <w:rsid w:val="1DEF66B5"/>
    <w:rsid w:val="1DF2709F"/>
    <w:rsid w:val="1DFE2BE4"/>
    <w:rsid w:val="1E084470"/>
    <w:rsid w:val="1E0B0AEB"/>
    <w:rsid w:val="1E3D5EA1"/>
    <w:rsid w:val="1E6A312D"/>
    <w:rsid w:val="1E6F6AC7"/>
    <w:rsid w:val="1E7C630D"/>
    <w:rsid w:val="1E8E4EAD"/>
    <w:rsid w:val="1EAB58C7"/>
    <w:rsid w:val="1ED4574F"/>
    <w:rsid w:val="1EF94B61"/>
    <w:rsid w:val="1F4D440B"/>
    <w:rsid w:val="1F594A56"/>
    <w:rsid w:val="1F5C3F9D"/>
    <w:rsid w:val="1F7B3B97"/>
    <w:rsid w:val="1F837362"/>
    <w:rsid w:val="1F9C279F"/>
    <w:rsid w:val="20217A1C"/>
    <w:rsid w:val="2077594F"/>
    <w:rsid w:val="208072E1"/>
    <w:rsid w:val="20A11F9B"/>
    <w:rsid w:val="20A41E80"/>
    <w:rsid w:val="20BE4472"/>
    <w:rsid w:val="20EA72B3"/>
    <w:rsid w:val="20F36184"/>
    <w:rsid w:val="21006B2C"/>
    <w:rsid w:val="212E0F89"/>
    <w:rsid w:val="21366B6F"/>
    <w:rsid w:val="213A4A06"/>
    <w:rsid w:val="21800EE3"/>
    <w:rsid w:val="21A539E5"/>
    <w:rsid w:val="225F62AC"/>
    <w:rsid w:val="22A10874"/>
    <w:rsid w:val="22FE7A76"/>
    <w:rsid w:val="231239D9"/>
    <w:rsid w:val="232F0077"/>
    <w:rsid w:val="23371851"/>
    <w:rsid w:val="233C2E92"/>
    <w:rsid w:val="23400FBF"/>
    <w:rsid w:val="23446E37"/>
    <w:rsid w:val="23AF73C7"/>
    <w:rsid w:val="23B31652"/>
    <w:rsid w:val="23B93FB6"/>
    <w:rsid w:val="23F52503"/>
    <w:rsid w:val="24135E64"/>
    <w:rsid w:val="245E64DE"/>
    <w:rsid w:val="247121D7"/>
    <w:rsid w:val="247E6F62"/>
    <w:rsid w:val="24947A95"/>
    <w:rsid w:val="24E271C1"/>
    <w:rsid w:val="251D7445"/>
    <w:rsid w:val="25232788"/>
    <w:rsid w:val="253A0857"/>
    <w:rsid w:val="25445645"/>
    <w:rsid w:val="254553E0"/>
    <w:rsid w:val="255D3877"/>
    <w:rsid w:val="255D427D"/>
    <w:rsid w:val="25822242"/>
    <w:rsid w:val="259F4A1B"/>
    <w:rsid w:val="25AA1052"/>
    <w:rsid w:val="25BE0AA6"/>
    <w:rsid w:val="25C62580"/>
    <w:rsid w:val="25C66571"/>
    <w:rsid w:val="25D073F0"/>
    <w:rsid w:val="26075C63"/>
    <w:rsid w:val="260F67D0"/>
    <w:rsid w:val="265D7AF5"/>
    <w:rsid w:val="26725A4D"/>
    <w:rsid w:val="26856636"/>
    <w:rsid w:val="269906F2"/>
    <w:rsid w:val="269A4706"/>
    <w:rsid w:val="26AC0F1D"/>
    <w:rsid w:val="26D10A51"/>
    <w:rsid w:val="26F64530"/>
    <w:rsid w:val="26FD2E2B"/>
    <w:rsid w:val="270C0B70"/>
    <w:rsid w:val="272651C4"/>
    <w:rsid w:val="27332A1F"/>
    <w:rsid w:val="27447FD8"/>
    <w:rsid w:val="27657D70"/>
    <w:rsid w:val="27767AC8"/>
    <w:rsid w:val="27B604A2"/>
    <w:rsid w:val="27BC33A9"/>
    <w:rsid w:val="27D723B4"/>
    <w:rsid w:val="27F01381"/>
    <w:rsid w:val="28307B24"/>
    <w:rsid w:val="285009C0"/>
    <w:rsid w:val="289A6EDF"/>
    <w:rsid w:val="28D41F69"/>
    <w:rsid w:val="28E44DE2"/>
    <w:rsid w:val="2952215C"/>
    <w:rsid w:val="29572484"/>
    <w:rsid w:val="29871CAC"/>
    <w:rsid w:val="29946AA9"/>
    <w:rsid w:val="29C929DE"/>
    <w:rsid w:val="29DA3823"/>
    <w:rsid w:val="29EA5D54"/>
    <w:rsid w:val="2A2B1232"/>
    <w:rsid w:val="2A3E155B"/>
    <w:rsid w:val="2A4D211A"/>
    <w:rsid w:val="2A60228E"/>
    <w:rsid w:val="2A68796E"/>
    <w:rsid w:val="2A770D86"/>
    <w:rsid w:val="2A866F24"/>
    <w:rsid w:val="2A8A6932"/>
    <w:rsid w:val="2AB32621"/>
    <w:rsid w:val="2AC3355E"/>
    <w:rsid w:val="2AD25312"/>
    <w:rsid w:val="2ADD11B3"/>
    <w:rsid w:val="2AE10DED"/>
    <w:rsid w:val="2AE33C9B"/>
    <w:rsid w:val="2AEF5296"/>
    <w:rsid w:val="2B002AAB"/>
    <w:rsid w:val="2B1A375C"/>
    <w:rsid w:val="2B45629C"/>
    <w:rsid w:val="2B541F9A"/>
    <w:rsid w:val="2B59584F"/>
    <w:rsid w:val="2B653BA8"/>
    <w:rsid w:val="2B882B1E"/>
    <w:rsid w:val="2B895C0C"/>
    <w:rsid w:val="2B944163"/>
    <w:rsid w:val="2B986DB7"/>
    <w:rsid w:val="2B9A4BAB"/>
    <w:rsid w:val="2B9D4B19"/>
    <w:rsid w:val="2BD47518"/>
    <w:rsid w:val="2BD56947"/>
    <w:rsid w:val="2BEE64E3"/>
    <w:rsid w:val="2C141DD1"/>
    <w:rsid w:val="2C4F52D5"/>
    <w:rsid w:val="2C563239"/>
    <w:rsid w:val="2C742A85"/>
    <w:rsid w:val="2C7922AF"/>
    <w:rsid w:val="2CA03240"/>
    <w:rsid w:val="2CBC1577"/>
    <w:rsid w:val="2CCA7050"/>
    <w:rsid w:val="2CE87D33"/>
    <w:rsid w:val="2D262DEB"/>
    <w:rsid w:val="2D2E4E42"/>
    <w:rsid w:val="2D657A3C"/>
    <w:rsid w:val="2D754E4E"/>
    <w:rsid w:val="2D7C605B"/>
    <w:rsid w:val="2D826566"/>
    <w:rsid w:val="2DA07F30"/>
    <w:rsid w:val="2DB10722"/>
    <w:rsid w:val="2DC50F03"/>
    <w:rsid w:val="2DD07BA0"/>
    <w:rsid w:val="2E0501E5"/>
    <w:rsid w:val="2E1F6A62"/>
    <w:rsid w:val="2E2161F9"/>
    <w:rsid w:val="2E237E15"/>
    <w:rsid w:val="2E6F4FD2"/>
    <w:rsid w:val="2E706FE1"/>
    <w:rsid w:val="2E7C7E35"/>
    <w:rsid w:val="2E9464B1"/>
    <w:rsid w:val="2E9D71A0"/>
    <w:rsid w:val="2EA43FA9"/>
    <w:rsid w:val="2EB45E18"/>
    <w:rsid w:val="2F0D7C77"/>
    <w:rsid w:val="2F14083C"/>
    <w:rsid w:val="2F302128"/>
    <w:rsid w:val="2F4C0333"/>
    <w:rsid w:val="2F65137B"/>
    <w:rsid w:val="2F700C6F"/>
    <w:rsid w:val="2F8B1558"/>
    <w:rsid w:val="2F9E6C69"/>
    <w:rsid w:val="2FAD49BA"/>
    <w:rsid w:val="2FB6023A"/>
    <w:rsid w:val="2FC414F4"/>
    <w:rsid w:val="2FC65F46"/>
    <w:rsid w:val="2FFA0D25"/>
    <w:rsid w:val="300C7602"/>
    <w:rsid w:val="301F5A49"/>
    <w:rsid w:val="30475566"/>
    <w:rsid w:val="30494074"/>
    <w:rsid w:val="30586855"/>
    <w:rsid w:val="305C5BB8"/>
    <w:rsid w:val="30656F76"/>
    <w:rsid w:val="308F3E37"/>
    <w:rsid w:val="3090749F"/>
    <w:rsid w:val="30957936"/>
    <w:rsid w:val="3096127A"/>
    <w:rsid w:val="30DA5147"/>
    <w:rsid w:val="30F06B46"/>
    <w:rsid w:val="3112057E"/>
    <w:rsid w:val="312831CF"/>
    <w:rsid w:val="31585468"/>
    <w:rsid w:val="315C312D"/>
    <w:rsid w:val="317A3ACD"/>
    <w:rsid w:val="31A334A3"/>
    <w:rsid w:val="31C82461"/>
    <w:rsid w:val="31CB1B57"/>
    <w:rsid w:val="31CD20E9"/>
    <w:rsid w:val="31DF53C1"/>
    <w:rsid w:val="31E94FB7"/>
    <w:rsid w:val="320146B5"/>
    <w:rsid w:val="320A36AC"/>
    <w:rsid w:val="32134F86"/>
    <w:rsid w:val="32192D18"/>
    <w:rsid w:val="32250D63"/>
    <w:rsid w:val="32251DC8"/>
    <w:rsid w:val="32342720"/>
    <w:rsid w:val="32383ACA"/>
    <w:rsid w:val="323B3A7E"/>
    <w:rsid w:val="326155DF"/>
    <w:rsid w:val="32966C89"/>
    <w:rsid w:val="32AC1024"/>
    <w:rsid w:val="32B4090A"/>
    <w:rsid w:val="330D6190"/>
    <w:rsid w:val="33170FFB"/>
    <w:rsid w:val="3330034E"/>
    <w:rsid w:val="334809DF"/>
    <w:rsid w:val="334B3F36"/>
    <w:rsid w:val="33673868"/>
    <w:rsid w:val="339C0A73"/>
    <w:rsid w:val="339C39C7"/>
    <w:rsid w:val="33BC56C8"/>
    <w:rsid w:val="33E55454"/>
    <w:rsid w:val="33E85A2B"/>
    <w:rsid w:val="34187F95"/>
    <w:rsid w:val="342D3BF2"/>
    <w:rsid w:val="347850AA"/>
    <w:rsid w:val="349724B5"/>
    <w:rsid w:val="34B7120B"/>
    <w:rsid w:val="34B873BD"/>
    <w:rsid w:val="34CC4DBF"/>
    <w:rsid w:val="34E3595E"/>
    <w:rsid w:val="34F57D93"/>
    <w:rsid w:val="34FC57DE"/>
    <w:rsid w:val="35082396"/>
    <w:rsid w:val="3547735A"/>
    <w:rsid w:val="356B169C"/>
    <w:rsid w:val="356C3639"/>
    <w:rsid w:val="356C7B76"/>
    <w:rsid w:val="35742559"/>
    <w:rsid w:val="35873A2B"/>
    <w:rsid w:val="35970998"/>
    <w:rsid w:val="359D0195"/>
    <w:rsid w:val="359D464F"/>
    <w:rsid w:val="35AC71EE"/>
    <w:rsid w:val="35B47169"/>
    <w:rsid w:val="35D80BDD"/>
    <w:rsid w:val="35E9265F"/>
    <w:rsid w:val="35EC13A5"/>
    <w:rsid w:val="36091132"/>
    <w:rsid w:val="36144D28"/>
    <w:rsid w:val="36A4703F"/>
    <w:rsid w:val="36AA72FC"/>
    <w:rsid w:val="36BC2D6A"/>
    <w:rsid w:val="36BD4C99"/>
    <w:rsid w:val="36D61989"/>
    <w:rsid w:val="37054BC0"/>
    <w:rsid w:val="37270A54"/>
    <w:rsid w:val="374900C9"/>
    <w:rsid w:val="375C0777"/>
    <w:rsid w:val="377E4766"/>
    <w:rsid w:val="378A7C20"/>
    <w:rsid w:val="37AD7B7A"/>
    <w:rsid w:val="37C16B09"/>
    <w:rsid w:val="37CE40EB"/>
    <w:rsid w:val="37D4580C"/>
    <w:rsid w:val="37FD3C67"/>
    <w:rsid w:val="380E23BF"/>
    <w:rsid w:val="384D2A8F"/>
    <w:rsid w:val="384D4745"/>
    <w:rsid w:val="387449F4"/>
    <w:rsid w:val="387E5167"/>
    <w:rsid w:val="388526EE"/>
    <w:rsid w:val="388A4BB7"/>
    <w:rsid w:val="389917ED"/>
    <w:rsid w:val="38B57488"/>
    <w:rsid w:val="38BF2033"/>
    <w:rsid w:val="38E7173B"/>
    <w:rsid w:val="390C1262"/>
    <w:rsid w:val="39291CE8"/>
    <w:rsid w:val="3934026A"/>
    <w:rsid w:val="39897662"/>
    <w:rsid w:val="399F14F0"/>
    <w:rsid w:val="39A46756"/>
    <w:rsid w:val="39B574EA"/>
    <w:rsid w:val="39CB1A65"/>
    <w:rsid w:val="39DB6776"/>
    <w:rsid w:val="39E423B9"/>
    <w:rsid w:val="3A2344A7"/>
    <w:rsid w:val="3A3265B3"/>
    <w:rsid w:val="3A4D3F3D"/>
    <w:rsid w:val="3A662FC8"/>
    <w:rsid w:val="3A6A03EC"/>
    <w:rsid w:val="3A8D0F8F"/>
    <w:rsid w:val="3A914327"/>
    <w:rsid w:val="3A964A7B"/>
    <w:rsid w:val="3AA9328B"/>
    <w:rsid w:val="3AB7131B"/>
    <w:rsid w:val="3B055FC9"/>
    <w:rsid w:val="3B0D3CCE"/>
    <w:rsid w:val="3B1053BD"/>
    <w:rsid w:val="3B1E5C6F"/>
    <w:rsid w:val="3B265640"/>
    <w:rsid w:val="3B2F43BE"/>
    <w:rsid w:val="3B497C4E"/>
    <w:rsid w:val="3B552B2C"/>
    <w:rsid w:val="3B5D5603"/>
    <w:rsid w:val="3B773999"/>
    <w:rsid w:val="3B775F53"/>
    <w:rsid w:val="3B9570A6"/>
    <w:rsid w:val="3B9E6DB6"/>
    <w:rsid w:val="3BAE3048"/>
    <w:rsid w:val="3BD012F1"/>
    <w:rsid w:val="3BFC1342"/>
    <w:rsid w:val="3C0A4454"/>
    <w:rsid w:val="3C2E796E"/>
    <w:rsid w:val="3C8840B1"/>
    <w:rsid w:val="3C8D2459"/>
    <w:rsid w:val="3C98111A"/>
    <w:rsid w:val="3CB00A7F"/>
    <w:rsid w:val="3CB70B52"/>
    <w:rsid w:val="3CBA7D88"/>
    <w:rsid w:val="3CBE3A25"/>
    <w:rsid w:val="3CEC41EB"/>
    <w:rsid w:val="3CF50C8F"/>
    <w:rsid w:val="3CFE0EF7"/>
    <w:rsid w:val="3D005C7B"/>
    <w:rsid w:val="3D06626B"/>
    <w:rsid w:val="3D1F4C05"/>
    <w:rsid w:val="3D28086B"/>
    <w:rsid w:val="3D6410B7"/>
    <w:rsid w:val="3D7605E3"/>
    <w:rsid w:val="3D8B161B"/>
    <w:rsid w:val="3DA21E5C"/>
    <w:rsid w:val="3DB112AB"/>
    <w:rsid w:val="3DC65FBE"/>
    <w:rsid w:val="3DCE4C84"/>
    <w:rsid w:val="3DDE477D"/>
    <w:rsid w:val="3DE10BA7"/>
    <w:rsid w:val="3DEA231C"/>
    <w:rsid w:val="3DED583D"/>
    <w:rsid w:val="3E1E6B96"/>
    <w:rsid w:val="3E334E96"/>
    <w:rsid w:val="3E421B57"/>
    <w:rsid w:val="3E451435"/>
    <w:rsid w:val="3E6F27B8"/>
    <w:rsid w:val="3EA226A8"/>
    <w:rsid w:val="3EAB21BC"/>
    <w:rsid w:val="3EBA37F8"/>
    <w:rsid w:val="3EE1010B"/>
    <w:rsid w:val="3F4238AF"/>
    <w:rsid w:val="3F442ED0"/>
    <w:rsid w:val="3F6D7EAB"/>
    <w:rsid w:val="3F992E19"/>
    <w:rsid w:val="3FB418F5"/>
    <w:rsid w:val="3FE42F01"/>
    <w:rsid w:val="3FE90A22"/>
    <w:rsid w:val="40171502"/>
    <w:rsid w:val="40180512"/>
    <w:rsid w:val="40193F8B"/>
    <w:rsid w:val="405B1F31"/>
    <w:rsid w:val="40610DC7"/>
    <w:rsid w:val="4064092E"/>
    <w:rsid w:val="40815E83"/>
    <w:rsid w:val="40992F15"/>
    <w:rsid w:val="40AC1352"/>
    <w:rsid w:val="40BE1C3F"/>
    <w:rsid w:val="41163005"/>
    <w:rsid w:val="4122384C"/>
    <w:rsid w:val="412A2328"/>
    <w:rsid w:val="41303029"/>
    <w:rsid w:val="414469FD"/>
    <w:rsid w:val="415A0197"/>
    <w:rsid w:val="41770F65"/>
    <w:rsid w:val="419214E6"/>
    <w:rsid w:val="41C9525F"/>
    <w:rsid w:val="41D67C8E"/>
    <w:rsid w:val="41F70D58"/>
    <w:rsid w:val="42052CB2"/>
    <w:rsid w:val="42265A15"/>
    <w:rsid w:val="424C34F6"/>
    <w:rsid w:val="42586133"/>
    <w:rsid w:val="4291265D"/>
    <w:rsid w:val="42921821"/>
    <w:rsid w:val="42AC5C6B"/>
    <w:rsid w:val="42BB778A"/>
    <w:rsid w:val="42DE6E60"/>
    <w:rsid w:val="430B6B01"/>
    <w:rsid w:val="430E6C1B"/>
    <w:rsid w:val="43302F7D"/>
    <w:rsid w:val="435C308A"/>
    <w:rsid w:val="436E0A22"/>
    <w:rsid w:val="43BE60FE"/>
    <w:rsid w:val="43CC44B7"/>
    <w:rsid w:val="43E25BA5"/>
    <w:rsid w:val="441631FB"/>
    <w:rsid w:val="44260CE8"/>
    <w:rsid w:val="448A427B"/>
    <w:rsid w:val="449B6B52"/>
    <w:rsid w:val="44C4310B"/>
    <w:rsid w:val="44CC5423"/>
    <w:rsid w:val="44ED500B"/>
    <w:rsid w:val="45296E5D"/>
    <w:rsid w:val="452D6EB1"/>
    <w:rsid w:val="452F4FAC"/>
    <w:rsid w:val="453D27A8"/>
    <w:rsid w:val="457B56F0"/>
    <w:rsid w:val="45EB78AF"/>
    <w:rsid w:val="460469D9"/>
    <w:rsid w:val="461017BF"/>
    <w:rsid w:val="461A0A95"/>
    <w:rsid w:val="461C6D83"/>
    <w:rsid w:val="46284D8D"/>
    <w:rsid w:val="464F4E4F"/>
    <w:rsid w:val="4671260F"/>
    <w:rsid w:val="46777A30"/>
    <w:rsid w:val="46781DE2"/>
    <w:rsid w:val="467E7947"/>
    <w:rsid w:val="46823E21"/>
    <w:rsid w:val="469B2097"/>
    <w:rsid w:val="46A123A8"/>
    <w:rsid w:val="46AC42CF"/>
    <w:rsid w:val="46B258F3"/>
    <w:rsid w:val="46BF187D"/>
    <w:rsid w:val="46C614ED"/>
    <w:rsid w:val="46CA00C3"/>
    <w:rsid w:val="46E963F6"/>
    <w:rsid w:val="46EC6E63"/>
    <w:rsid w:val="470837A2"/>
    <w:rsid w:val="47102DBA"/>
    <w:rsid w:val="473267BB"/>
    <w:rsid w:val="4739200D"/>
    <w:rsid w:val="473F0A9D"/>
    <w:rsid w:val="479A776D"/>
    <w:rsid w:val="47B34F61"/>
    <w:rsid w:val="488206D2"/>
    <w:rsid w:val="48A611FE"/>
    <w:rsid w:val="48CD5FFC"/>
    <w:rsid w:val="48D86357"/>
    <w:rsid w:val="48FB1C7F"/>
    <w:rsid w:val="493A1EB4"/>
    <w:rsid w:val="494B544A"/>
    <w:rsid w:val="49584047"/>
    <w:rsid w:val="498821B1"/>
    <w:rsid w:val="49C832CD"/>
    <w:rsid w:val="49E35040"/>
    <w:rsid w:val="49EF29BC"/>
    <w:rsid w:val="4A003034"/>
    <w:rsid w:val="4A02651A"/>
    <w:rsid w:val="4A121F58"/>
    <w:rsid w:val="4A133A40"/>
    <w:rsid w:val="4A1524E9"/>
    <w:rsid w:val="4A1B7564"/>
    <w:rsid w:val="4A2F00E8"/>
    <w:rsid w:val="4A2F75BF"/>
    <w:rsid w:val="4A3F406F"/>
    <w:rsid w:val="4A3F4605"/>
    <w:rsid w:val="4A44309B"/>
    <w:rsid w:val="4A4F3325"/>
    <w:rsid w:val="4A542C96"/>
    <w:rsid w:val="4A5A2144"/>
    <w:rsid w:val="4A6526D3"/>
    <w:rsid w:val="4A682320"/>
    <w:rsid w:val="4A6D303B"/>
    <w:rsid w:val="4A8A3A80"/>
    <w:rsid w:val="4ACB6EF8"/>
    <w:rsid w:val="4ADD3C48"/>
    <w:rsid w:val="4B276D88"/>
    <w:rsid w:val="4B373D00"/>
    <w:rsid w:val="4B8365ED"/>
    <w:rsid w:val="4B840040"/>
    <w:rsid w:val="4B8575D9"/>
    <w:rsid w:val="4B9A51D0"/>
    <w:rsid w:val="4BAA5DC2"/>
    <w:rsid w:val="4BF74E0E"/>
    <w:rsid w:val="4C16296F"/>
    <w:rsid w:val="4C3E731B"/>
    <w:rsid w:val="4C690DFA"/>
    <w:rsid w:val="4CB31662"/>
    <w:rsid w:val="4CED2BFD"/>
    <w:rsid w:val="4CF521D3"/>
    <w:rsid w:val="4D3B619C"/>
    <w:rsid w:val="4D6C2D5C"/>
    <w:rsid w:val="4D740616"/>
    <w:rsid w:val="4D8642C7"/>
    <w:rsid w:val="4D8A560E"/>
    <w:rsid w:val="4D98592E"/>
    <w:rsid w:val="4D9B731A"/>
    <w:rsid w:val="4DE34548"/>
    <w:rsid w:val="4DEC61C8"/>
    <w:rsid w:val="4DEF7973"/>
    <w:rsid w:val="4E0A6D76"/>
    <w:rsid w:val="4E1F02FD"/>
    <w:rsid w:val="4E280F3F"/>
    <w:rsid w:val="4E712729"/>
    <w:rsid w:val="4E887ABC"/>
    <w:rsid w:val="4E895558"/>
    <w:rsid w:val="4F2A2885"/>
    <w:rsid w:val="4F4028A9"/>
    <w:rsid w:val="4F4F6DF2"/>
    <w:rsid w:val="4F65461B"/>
    <w:rsid w:val="4F6614AF"/>
    <w:rsid w:val="4FA60373"/>
    <w:rsid w:val="4FB71B78"/>
    <w:rsid w:val="4FE266DA"/>
    <w:rsid w:val="4FE81628"/>
    <w:rsid w:val="4FEA7250"/>
    <w:rsid w:val="4FF0163A"/>
    <w:rsid w:val="500A647D"/>
    <w:rsid w:val="504E06ED"/>
    <w:rsid w:val="504F3C11"/>
    <w:rsid w:val="50781D1F"/>
    <w:rsid w:val="50933BD6"/>
    <w:rsid w:val="50A05D56"/>
    <w:rsid w:val="50B01CE6"/>
    <w:rsid w:val="50B60807"/>
    <w:rsid w:val="50BB1202"/>
    <w:rsid w:val="50BF4E1B"/>
    <w:rsid w:val="50C40492"/>
    <w:rsid w:val="50C56D67"/>
    <w:rsid w:val="50D53F0A"/>
    <w:rsid w:val="50D572FF"/>
    <w:rsid w:val="50DC6EAF"/>
    <w:rsid w:val="50E23F2D"/>
    <w:rsid w:val="50F50AE6"/>
    <w:rsid w:val="515D13B8"/>
    <w:rsid w:val="516556AA"/>
    <w:rsid w:val="51B02B52"/>
    <w:rsid w:val="51B13D6E"/>
    <w:rsid w:val="51B33F36"/>
    <w:rsid w:val="51BC764A"/>
    <w:rsid w:val="51C33303"/>
    <w:rsid w:val="5204170C"/>
    <w:rsid w:val="523B7746"/>
    <w:rsid w:val="5272350B"/>
    <w:rsid w:val="528569EC"/>
    <w:rsid w:val="528D5789"/>
    <w:rsid w:val="52A71FC7"/>
    <w:rsid w:val="52B2442F"/>
    <w:rsid w:val="52CD4098"/>
    <w:rsid w:val="52D416FC"/>
    <w:rsid w:val="52E10FDE"/>
    <w:rsid w:val="52FB6F0C"/>
    <w:rsid w:val="53066FC6"/>
    <w:rsid w:val="530F441B"/>
    <w:rsid w:val="53141DBF"/>
    <w:rsid w:val="532D3D85"/>
    <w:rsid w:val="533435E4"/>
    <w:rsid w:val="53747178"/>
    <w:rsid w:val="53B366AA"/>
    <w:rsid w:val="53E62055"/>
    <w:rsid w:val="53F31F4A"/>
    <w:rsid w:val="53F83E72"/>
    <w:rsid w:val="53FD4A2D"/>
    <w:rsid w:val="5413494E"/>
    <w:rsid w:val="544C12DA"/>
    <w:rsid w:val="54630299"/>
    <w:rsid w:val="54795B87"/>
    <w:rsid w:val="54825031"/>
    <w:rsid w:val="54991234"/>
    <w:rsid w:val="549F26FB"/>
    <w:rsid w:val="54A779CB"/>
    <w:rsid w:val="54B02D3E"/>
    <w:rsid w:val="54C94C5A"/>
    <w:rsid w:val="550D5EF5"/>
    <w:rsid w:val="555A0702"/>
    <w:rsid w:val="555C6F83"/>
    <w:rsid w:val="5597756D"/>
    <w:rsid w:val="55AA371E"/>
    <w:rsid w:val="55B85B3E"/>
    <w:rsid w:val="55C67A89"/>
    <w:rsid w:val="55C759A1"/>
    <w:rsid w:val="55DF53EA"/>
    <w:rsid w:val="55E3352C"/>
    <w:rsid w:val="55E40095"/>
    <w:rsid w:val="563679EA"/>
    <w:rsid w:val="564326E5"/>
    <w:rsid w:val="56440FF3"/>
    <w:rsid w:val="56464C94"/>
    <w:rsid w:val="565A1E6A"/>
    <w:rsid w:val="56C02938"/>
    <w:rsid w:val="56CC0B92"/>
    <w:rsid w:val="56D0371D"/>
    <w:rsid w:val="56E879BD"/>
    <w:rsid w:val="56F266E4"/>
    <w:rsid w:val="56FB5CD6"/>
    <w:rsid w:val="57083565"/>
    <w:rsid w:val="57121385"/>
    <w:rsid w:val="574455CD"/>
    <w:rsid w:val="57501964"/>
    <w:rsid w:val="57696A90"/>
    <w:rsid w:val="576F157C"/>
    <w:rsid w:val="57740872"/>
    <w:rsid w:val="5797758A"/>
    <w:rsid w:val="57B85348"/>
    <w:rsid w:val="57B9259B"/>
    <w:rsid w:val="57C77DB7"/>
    <w:rsid w:val="57D34442"/>
    <w:rsid w:val="57EC2D86"/>
    <w:rsid w:val="583D556C"/>
    <w:rsid w:val="58476530"/>
    <w:rsid w:val="584E56CB"/>
    <w:rsid w:val="58743D19"/>
    <w:rsid w:val="588224CC"/>
    <w:rsid w:val="58904E59"/>
    <w:rsid w:val="58C14708"/>
    <w:rsid w:val="58C527A2"/>
    <w:rsid w:val="58ED1D77"/>
    <w:rsid w:val="58F83F56"/>
    <w:rsid w:val="59046503"/>
    <w:rsid w:val="590E732B"/>
    <w:rsid w:val="59255F6F"/>
    <w:rsid w:val="59457E01"/>
    <w:rsid w:val="596573DA"/>
    <w:rsid w:val="596A697F"/>
    <w:rsid w:val="59822E28"/>
    <w:rsid w:val="598573B4"/>
    <w:rsid w:val="599800F1"/>
    <w:rsid w:val="59A23958"/>
    <w:rsid w:val="59A62EC6"/>
    <w:rsid w:val="59DD1A24"/>
    <w:rsid w:val="59FA24F1"/>
    <w:rsid w:val="5A210603"/>
    <w:rsid w:val="5A306592"/>
    <w:rsid w:val="5A417EE0"/>
    <w:rsid w:val="5A452E00"/>
    <w:rsid w:val="5A6B3EC0"/>
    <w:rsid w:val="5A7D1AB3"/>
    <w:rsid w:val="5A886713"/>
    <w:rsid w:val="5A8B65A1"/>
    <w:rsid w:val="5A96068D"/>
    <w:rsid w:val="5A9634D2"/>
    <w:rsid w:val="5AB0264B"/>
    <w:rsid w:val="5ABD2C28"/>
    <w:rsid w:val="5AC6500C"/>
    <w:rsid w:val="5ADD6262"/>
    <w:rsid w:val="5B207B68"/>
    <w:rsid w:val="5B592CDB"/>
    <w:rsid w:val="5B6A4065"/>
    <w:rsid w:val="5B900374"/>
    <w:rsid w:val="5B96497E"/>
    <w:rsid w:val="5B966992"/>
    <w:rsid w:val="5B9F2FF7"/>
    <w:rsid w:val="5BA13F24"/>
    <w:rsid w:val="5C242539"/>
    <w:rsid w:val="5C2F549B"/>
    <w:rsid w:val="5C5C44E6"/>
    <w:rsid w:val="5C630990"/>
    <w:rsid w:val="5C685873"/>
    <w:rsid w:val="5C6D3B81"/>
    <w:rsid w:val="5C7A5EA2"/>
    <w:rsid w:val="5C8706FD"/>
    <w:rsid w:val="5C8B7925"/>
    <w:rsid w:val="5CBF452A"/>
    <w:rsid w:val="5CD55BDE"/>
    <w:rsid w:val="5CDA191D"/>
    <w:rsid w:val="5CDD46DC"/>
    <w:rsid w:val="5CF23CB9"/>
    <w:rsid w:val="5D06072C"/>
    <w:rsid w:val="5D2E38A3"/>
    <w:rsid w:val="5D3779F1"/>
    <w:rsid w:val="5D404098"/>
    <w:rsid w:val="5D5D527F"/>
    <w:rsid w:val="5D6965AB"/>
    <w:rsid w:val="5D6F7C32"/>
    <w:rsid w:val="5DC90FAA"/>
    <w:rsid w:val="5DD53617"/>
    <w:rsid w:val="5DD75F6B"/>
    <w:rsid w:val="5DDB1978"/>
    <w:rsid w:val="5E3A6C35"/>
    <w:rsid w:val="5E423192"/>
    <w:rsid w:val="5E495518"/>
    <w:rsid w:val="5E5B5E92"/>
    <w:rsid w:val="5E66131D"/>
    <w:rsid w:val="5E6B34AE"/>
    <w:rsid w:val="5EC00E0A"/>
    <w:rsid w:val="5EC132D5"/>
    <w:rsid w:val="5EC63224"/>
    <w:rsid w:val="5ED14469"/>
    <w:rsid w:val="5ED34CE4"/>
    <w:rsid w:val="5EDA2523"/>
    <w:rsid w:val="5EEF5F9A"/>
    <w:rsid w:val="5EF65CBD"/>
    <w:rsid w:val="5F2D7C01"/>
    <w:rsid w:val="5F356822"/>
    <w:rsid w:val="5F714BF4"/>
    <w:rsid w:val="5F72445E"/>
    <w:rsid w:val="5FA07E17"/>
    <w:rsid w:val="5FA225FE"/>
    <w:rsid w:val="5FA712E4"/>
    <w:rsid w:val="5FB974F3"/>
    <w:rsid w:val="5FD20DE5"/>
    <w:rsid w:val="5FE4761A"/>
    <w:rsid w:val="5FE67774"/>
    <w:rsid w:val="601A71F1"/>
    <w:rsid w:val="6020112A"/>
    <w:rsid w:val="602035C1"/>
    <w:rsid w:val="60235E15"/>
    <w:rsid w:val="602C3088"/>
    <w:rsid w:val="603F3167"/>
    <w:rsid w:val="60431BA5"/>
    <w:rsid w:val="60475849"/>
    <w:rsid w:val="604A5714"/>
    <w:rsid w:val="604A7914"/>
    <w:rsid w:val="60506B71"/>
    <w:rsid w:val="605D4839"/>
    <w:rsid w:val="606F624C"/>
    <w:rsid w:val="60717241"/>
    <w:rsid w:val="6074619E"/>
    <w:rsid w:val="60913C9F"/>
    <w:rsid w:val="60A30FD2"/>
    <w:rsid w:val="60A816E8"/>
    <w:rsid w:val="60C513F2"/>
    <w:rsid w:val="60FC5834"/>
    <w:rsid w:val="610A034B"/>
    <w:rsid w:val="611A1D0A"/>
    <w:rsid w:val="612A64AE"/>
    <w:rsid w:val="614E1C3B"/>
    <w:rsid w:val="614E6087"/>
    <w:rsid w:val="616555A5"/>
    <w:rsid w:val="617F654D"/>
    <w:rsid w:val="61C64699"/>
    <w:rsid w:val="61CC4B86"/>
    <w:rsid w:val="62020E9E"/>
    <w:rsid w:val="620E4DFB"/>
    <w:rsid w:val="62443DCC"/>
    <w:rsid w:val="62653224"/>
    <w:rsid w:val="626B2AB9"/>
    <w:rsid w:val="62910EDC"/>
    <w:rsid w:val="62933B23"/>
    <w:rsid w:val="62937B7C"/>
    <w:rsid w:val="62B959E3"/>
    <w:rsid w:val="62CD52C6"/>
    <w:rsid w:val="62FA6EB5"/>
    <w:rsid w:val="62FE77CD"/>
    <w:rsid w:val="630F0A79"/>
    <w:rsid w:val="631B1AB7"/>
    <w:rsid w:val="6323640F"/>
    <w:rsid w:val="63364028"/>
    <w:rsid w:val="635F7235"/>
    <w:rsid w:val="6360730D"/>
    <w:rsid w:val="63994D60"/>
    <w:rsid w:val="639B074B"/>
    <w:rsid w:val="63A4607B"/>
    <w:rsid w:val="63AE5356"/>
    <w:rsid w:val="63B460DD"/>
    <w:rsid w:val="63C03163"/>
    <w:rsid w:val="642539EC"/>
    <w:rsid w:val="64300392"/>
    <w:rsid w:val="643E3ACC"/>
    <w:rsid w:val="644536B0"/>
    <w:rsid w:val="644E6748"/>
    <w:rsid w:val="645513B3"/>
    <w:rsid w:val="64621266"/>
    <w:rsid w:val="646A562A"/>
    <w:rsid w:val="64715B3E"/>
    <w:rsid w:val="647D6631"/>
    <w:rsid w:val="6482796D"/>
    <w:rsid w:val="648B7453"/>
    <w:rsid w:val="64A67A8C"/>
    <w:rsid w:val="64DB2CC5"/>
    <w:rsid w:val="65053812"/>
    <w:rsid w:val="653E02D8"/>
    <w:rsid w:val="654332D6"/>
    <w:rsid w:val="654A267F"/>
    <w:rsid w:val="65D15941"/>
    <w:rsid w:val="665A2795"/>
    <w:rsid w:val="667408CE"/>
    <w:rsid w:val="66A549EA"/>
    <w:rsid w:val="66FE0F49"/>
    <w:rsid w:val="6719670F"/>
    <w:rsid w:val="67213E9B"/>
    <w:rsid w:val="67224B6E"/>
    <w:rsid w:val="67766416"/>
    <w:rsid w:val="678A1519"/>
    <w:rsid w:val="67927F64"/>
    <w:rsid w:val="67995E97"/>
    <w:rsid w:val="67B33A25"/>
    <w:rsid w:val="67E9646D"/>
    <w:rsid w:val="67EB589D"/>
    <w:rsid w:val="67F64FD2"/>
    <w:rsid w:val="68223A33"/>
    <w:rsid w:val="68226B26"/>
    <w:rsid w:val="682D7854"/>
    <w:rsid w:val="682F6563"/>
    <w:rsid w:val="68364DFD"/>
    <w:rsid w:val="683C36C0"/>
    <w:rsid w:val="689F181D"/>
    <w:rsid w:val="68AF6BA1"/>
    <w:rsid w:val="68D01998"/>
    <w:rsid w:val="68E5501F"/>
    <w:rsid w:val="690D3312"/>
    <w:rsid w:val="69155A1A"/>
    <w:rsid w:val="691E088C"/>
    <w:rsid w:val="69425362"/>
    <w:rsid w:val="69495E7D"/>
    <w:rsid w:val="6957429C"/>
    <w:rsid w:val="696D25FE"/>
    <w:rsid w:val="696D4CD8"/>
    <w:rsid w:val="69950AA7"/>
    <w:rsid w:val="6999168A"/>
    <w:rsid w:val="699A70DF"/>
    <w:rsid w:val="699E3315"/>
    <w:rsid w:val="69CA2639"/>
    <w:rsid w:val="6A00490A"/>
    <w:rsid w:val="6A484C60"/>
    <w:rsid w:val="6AB6474C"/>
    <w:rsid w:val="6ABF6BDB"/>
    <w:rsid w:val="6AF60E33"/>
    <w:rsid w:val="6B0A50D7"/>
    <w:rsid w:val="6B1E2923"/>
    <w:rsid w:val="6B3423F1"/>
    <w:rsid w:val="6B354FA4"/>
    <w:rsid w:val="6B40525E"/>
    <w:rsid w:val="6B44798A"/>
    <w:rsid w:val="6B474E07"/>
    <w:rsid w:val="6B680944"/>
    <w:rsid w:val="6B6B5EE8"/>
    <w:rsid w:val="6B7E3BC4"/>
    <w:rsid w:val="6BBF2795"/>
    <w:rsid w:val="6BDF0A94"/>
    <w:rsid w:val="6BE70CA0"/>
    <w:rsid w:val="6BEE3953"/>
    <w:rsid w:val="6C1A009A"/>
    <w:rsid w:val="6C2C0759"/>
    <w:rsid w:val="6C464A35"/>
    <w:rsid w:val="6C585B32"/>
    <w:rsid w:val="6C5D03B9"/>
    <w:rsid w:val="6C78523F"/>
    <w:rsid w:val="6C9A469D"/>
    <w:rsid w:val="6CAD6893"/>
    <w:rsid w:val="6CBE0EF6"/>
    <w:rsid w:val="6CE22C61"/>
    <w:rsid w:val="6D0E57E3"/>
    <w:rsid w:val="6D4A4445"/>
    <w:rsid w:val="6D5E4F63"/>
    <w:rsid w:val="6D815D56"/>
    <w:rsid w:val="6D853D88"/>
    <w:rsid w:val="6DD84E4F"/>
    <w:rsid w:val="6DDB59A5"/>
    <w:rsid w:val="6DDF0EEF"/>
    <w:rsid w:val="6DE6577E"/>
    <w:rsid w:val="6E0049E3"/>
    <w:rsid w:val="6E1724BF"/>
    <w:rsid w:val="6E4248CC"/>
    <w:rsid w:val="6E4F069C"/>
    <w:rsid w:val="6E527303"/>
    <w:rsid w:val="6E630E5A"/>
    <w:rsid w:val="6E765DF6"/>
    <w:rsid w:val="6EA95FB9"/>
    <w:rsid w:val="6EC65720"/>
    <w:rsid w:val="6ECE00AE"/>
    <w:rsid w:val="6EDD2208"/>
    <w:rsid w:val="6EE06985"/>
    <w:rsid w:val="6F0518DB"/>
    <w:rsid w:val="6F0D32D0"/>
    <w:rsid w:val="6F0D6274"/>
    <w:rsid w:val="6F0F327E"/>
    <w:rsid w:val="6F2C7EF4"/>
    <w:rsid w:val="6F2E5BF8"/>
    <w:rsid w:val="6F4500EC"/>
    <w:rsid w:val="6F5C6339"/>
    <w:rsid w:val="6F61152C"/>
    <w:rsid w:val="6F645048"/>
    <w:rsid w:val="6F6B144E"/>
    <w:rsid w:val="6F8E7BB6"/>
    <w:rsid w:val="6FB16572"/>
    <w:rsid w:val="6FC03876"/>
    <w:rsid w:val="6FE06519"/>
    <w:rsid w:val="70035BA3"/>
    <w:rsid w:val="702E54AE"/>
    <w:rsid w:val="702E6661"/>
    <w:rsid w:val="70581783"/>
    <w:rsid w:val="7087215B"/>
    <w:rsid w:val="70994E66"/>
    <w:rsid w:val="70DF3240"/>
    <w:rsid w:val="70E77EFD"/>
    <w:rsid w:val="70F207B7"/>
    <w:rsid w:val="71191BEC"/>
    <w:rsid w:val="71327B8E"/>
    <w:rsid w:val="71570B54"/>
    <w:rsid w:val="716C1895"/>
    <w:rsid w:val="718F4A72"/>
    <w:rsid w:val="71955372"/>
    <w:rsid w:val="71C475A6"/>
    <w:rsid w:val="71DA79DE"/>
    <w:rsid w:val="71F01B20"/>
    <w:rsid w:val="722E38C0"/>
    <w:rsid w:val="72452712"/>
    <w:rsid w:val="726460D4"/>
    <w:rsid w:val="726A70FA"/>
    <w:rsid w:val="72767B0E"/>
    <w:rsid w:val="72C4120C"/>
    <w:rsid w:val="72C73360"/>
    <w:rsid w:val="72FF787A"/>
    <w:rsid w:val="73010927"/>
    <w:rsid w:val="730149F6"/>
    <w:rsid w:val="7303538A"/>
    <w:rsid w:val="73116F2E"/>
    <w:rsid w:val="734B66D5"/>
    <w:rsid w:val="73A62D27"/>
    <w:rsid w:val="73E503DE"/>
    <w:rsid w:val="73F8396B"/>
    <w:rsid w:val="74080BBB"/>
    <w:rsid w:val="74183DE8"/>
    <w:rsid w:val="741E1474"/>
    <w:rsid w:val="74352EFC"/>
    <w:rsid w:val="743C238E"/>
    <w:rsid w:val="744A1B85"/>
    <w:rsid w:val="74525B10"/>
    <w:rsid w:val="746B7C0B"/>
    <w:rsid w:val="74ED0B94"/>
    <w:rsid w:val="74F80447"/>
    <w:rsid w:val="75011F86"/>
    <w:rsid w:val="754F7265"/>
    <w:rsid w:val="755B366C"/>
    <w:rsid w:val="75B13F64"/>
    <w:rsid w:val="75C409D3"/>
    <w:rsid w:val="75F515B9"/>
    <w:rsid w:val="75FC1363"/>
    <w:rsid w:val="76501E39"/>
    <w:rsid w:val="76517EF4"/>
    <w:rsid w:val="76586D10"/>
    <w:rsid w:val="765D2283"/>
    <w:rsid w:val="767540B9"/>
    <w:rsid w:val="76872764"/>
    <w:rsid w:val="769156DF"/>
    <w:rsid w:val="76CF2876"/>
    <w:rsid w:val="76FF6B51"/>
    <w:rsid w:val="770559C8"/>
    <w:rsid w:val="771236C7"/>
    <w:rsid w:val="771861BA"/>
    <w:rsid w:val="771C5D40"/>
    <w:rsid w:val="771F6C35"/>
    <w:rsid w:val="77495338"/>
    <w:rsid w:val="77982982"/>
    <w:rsid w:val="77DD39B3"/>
    <w:rsid w:val="77E91674"/>
    <w:rsid w:val="77F71551"/>
    <w:rsid w:val="78014D50"/>
    <w:rsid w:val="780C3379"/>
    <w:rsid w:val="7823046A"/>
    <w:rsid w:val="78435149"/>
    <w:rsid w:val="784B69D1"/>
    <w:rsid w:val="784C4381"/>
    <w:rsid w:val="785573A4"/>
    <w:rsid w:val="78835F9E"/>
    <w:rsid w:val="78934BEE"/>
    <w:rsid w:val="78A47947"/>
    <w:rsid w:val="78AF2605"/>
    <w:rsid w:val="78AF6698"/>
    <w:rsid w:val="78B424CA"/>
    <w:rsid w:val="78DC244E"/>
    <w:rsid w:val="790B1BBF"/>
    <w:rsid w:val="79100783"/>
    <w:rsid w:val="79563885"/>
    <w:rsid w:val="798E58EC"/>
    <w:rsid w:val="799B16E5"/>
    <w:rsid w:val="79A6510C"/>
    <w:rsid w:val="79AA6207"/>
    <w:rsid w:val="79E339A4"/>
    <w:rsid w:val="7A420017"/>
    <w:rsid w:val="7A5A6DE5"/>
    <w:rsid w:val="7A8D648D"/>
    <w:rsid w:val="7A8F2A7E"/>
    <w:rsid w:val="7AAD311F"/>
    <w:rsid w:val="7AC3028B"/>
    <w:rsid w:val="7AD92CE3"/>
    <w:rsid w:val="7AF44816"/>
    <w:rsid w:val="7B007325"/>
    <w:rsid w:val="7B043941"/>
    <w:rsid w:val="7B1D69A4"/>
    <w:rsid w:val="7B29068C"/>
    <w:rsid w:val="7B4F7EED"/>
    <w:rsid w:val="7B504788"/>
    <w:rsid w:val="7B825554"/>
    <w:rsid w:val="7B994DB4"/>
    <w:rsid w:val="7BE97F28"/>
    <w:rsid w:val="7C307AC2"/>
    <w:rsid w:val="7C447905"/>
    <w:rsid w:val="7C450D2D"/>
    <w:rsid w:val="7C59125F"/>
    <w:rsid w:val="7C6275B2"/>
    <w:rsid w:val="7C6A0943"/>
    <w:rsid w:val="7C806661"/>
    <w:rsid w:val="7C8154A5"/>
    <w:rsid w:val="7C841BF6"/>
    <w:rsid w:val="7C8731EF"/>
    <w:rsid w:val="7CAE39E6"/>
    <w:rsid w:val="7CB022AE"/>
    <w:rsid w:val="7CB36546"/>
    <w:rsid w:val="7CBC4AA0"/>
    <w:rsid w:val="7CE51A5E"/>
    <w:rsid w:val="7CFF4DB2"/>
    <w:rsid w:val="7D0E6CED"/>
    <w:rsid w:val="7D126F2F"/>
    <w:rsid w:val="7D171ED7"/>
    <w:rsid w:val="7D1D6E3C"/>
    <w:rsid w:val="7D2719AA"/>
    <w:rsid w:val="7D3C35ED"/>
    <w:rsid w:val="7D6A5F0E"/>
    <w:rsid w:val="7D7B23D7"/>
    <w:rsid w:val="7D8126DD"/>
    <w:rsid w:val="7D9124D8"/>
    <w:rsid w:val="7DB735C6"/>
    <w:rsid w:val="7DC46165"/>
    <w:rsid w:val="7DD45773"/>
    <w:rsid w:val="7DE32BDA"/>
    <w:rsid w:val="7DF9335C"/>
    <w:rsid w:val="7E132D73"/>
    <w:rsid w:val="7E255BFB"/>
    <w:rsid w:val="7E8A3A21"/>
    <w:rsid w:val="7E8D1C00"/>
    <w:rsid w:val="7EA552CD"/>
    <w:rsid w:val="7EBB35EE"/>
    <w:rsid w:val="7F02570C"/>
    <w:rsid w:val="7F126F9E"/>
    <w:rsid w:val="7F2F1E85"/>
    <w:rsid w:val="7F357244"/>
    <w:rsid w:val="7F394ABA"/>
    <w:rsid w:val="7F557AC1"/>
    <w:rsid w:val="7F942D5C"/>
    <w:rsid w:val="7F9C2558"/>
    <w:rsid w:val="7FB73878"/>
    <w:rsid w:val="7FC60A71"/>
    <w:rsid w:val="7FDF2D9A"/>
    <w:rsid w:val="7FE21149"/>
    <w:rsid w:val="7FFB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Body Text Indent 2"/>
    <w:basedOn w:val="1"/>
    <w:autoRedefine/>
    <w:qFormat/>
    <w:uiPriority w:val="0"/>
    <w:pPr>
      <w:spacing w:line="360" w:lineRule="auto"/>
      <w:ind w:left="187" w:leftChars="187" w:firstLine="200" w:firstLineChars="200"/>
    </w:pPr>
    <w:rPr>
      <w:rFonts w:ascii="仿宋_GB2312" w:eastAsia="仿宋_GB2312"/>
      <w:kern w:val="10"/>
      <w:sz w:val="32"/>
      <w:szCs w:val="3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unhideWhenUsed/>
    <w:qFormat/>
    <w:uiPriority w:val="99"/>
    <w:pPr>
      <w:snapToGrid w:val="0"/>
      <w:jc w:val="left"/>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character" w:styleId="13">
    <w:name w:val="FollowedHyperlink"/>
    <w:basedOn w:val="11"/>
    <w:autoRedefine/>
    <w:qFormat/>
    <w:uiPriority w:val="0"/>
    <w:rPr>
      <w:color w:val="2182B8"/>
      <w:u w:val="none"/>
    </w:rPr>
  </w:style>
  <w:style w:type="character" w:styleId="14">
    <w:name w:val="Emphasis"/>
    <w:basedOn w:val="11"/>
    <w:autoRedefine/>
    <w:qFormat/>
    <w:uiPriority w:val="0"/>
  </w:style>
  <w:style w:type="character" w:styleId="15">
    <w:name w:val="Hyperlink"/>
    <w:basedOn w:val="11"/>
    <w:autoRedefine/>
    <w:qFormat/>
    <w:uiPriority w:val="0"/>
    <w:rPr>
      <w:color w:val="2182B8"/>
      <w:u w:val="none"/>
    </w:rPr>
  </w:style>
  <w:style w:type="paragraph" w:customStyle="1" w:styleId="16">
    <w:name w:val="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7">
    <w:name w:val="Char Char Char1 Char Char Char1 Char"/>
    <w:basedOn w:val="1"/>
    <w:autoRedefine/>
    <w:qFormat/>
    <w:uiPriority w:val="0"/>
    <w:rPr>
      <w:szCs w:val="20"/>
    </w:rPr>
  </w:style>
  <w:style w:type="paragraph" w:customStyle="1" w:styleId="18">
    <w:name w:val="Heading3"/>
    <w:basedOn w:val="1"/>
    <w:next w:val="1"/>
    <w:autoRedefine/>
    <w:qFormat/>
    <w:uiPriority w:val="0"/>
    <w:pPr>
      <w:keepNext/>
      <w:keepLines/>
      <w:ind w:firstLine="200" w:firstLineChars="200"/>
      <w:jc w:val="both"/>
      <w:textAlignment w:val="baseline"/>
    </w:pPr>
    <w:rPr>
      <w:rFonts w:ascii="仿宋" w:hAnsi="仿宋" w:eastAsia="宋体"/>
      <w:color w:val="FF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6.xml"/><Relationship Id="rId1" Type="http://schemas.openxmlformats.org/officeDocument/2006/relationships/oleObject" Target="file:///C:\Users\Happy\Desktop\2023&#24180;&#32479;&#35745;&#20844;&#25253;\&#24037;&#20316;&#31807;1.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chartUserShapes" Target="../drawings/drawing7.xml"/><Relationship Id="rId1" Type="http://schemas.openxmlformats.org/officeDocument/2006/relationships/oleObject" Target="file:///C:\Users\Happy\Desktop\2023&#24180;&#32479;&#35745;&#20844;&#25253;\&#24037;&#20316;&#31807;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5.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4.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4&#24180;\2023&#24180;&#32479;&#35745;&#20844;&#25253;\&#35029;&#27665;&#21439;&#21382;&#24180;&#20197;&#26469;&#21487;&#25903;&#37197;&#25910;&#20837;&#12289;&#20154;&#22343;&#25910;&#20837;&#34920;4.7(1).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24&#24180;\2023&#24180;&#32479;&#35745;&#20844;&#25253;\&#35029;&#27665;&#21439;&#21382;&#24180;&#20197;&#26469;&#21487;&#25903;&#37197;&#25910;&#20837;&#12289;&#20154;&#22343;&#25910;&#20837;&#34920;4.7(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8374378540872"/>
          <c:y val="0.151472650771388"/>
          <c:w val="0.83868655335877"/>
          <c:h val="0.629125759700795"/>
        </c:manualLayout>
      </c:layout>
      <c:barChart>
        <c:barDir val="col"/>
        <c:grouping val="clustered"/>
        <c:varyColors val="0"/>
        <c:ser>
          <c:idx val="0"/>
          <c:order val="0"/>
          <c:tx>
            <c:strRef>
              <c:f>[工作簿1.xlsx]Sheet1!$D$16</c:f>
              <c:strCache>
                <c:ptCount val="1"/>
                <c:pt idx="0">
                  <c:v>地区生产总值</c:v>
                </c:pt>
              </c:strCache>
            </c:strRef>
          </c:tx>
          <c:spPr>
            <a:solidFill>
              <a:schemeClr val="accent1"/>
            </a:solidFill>
            <a:ln>
              <a:noFill/>
            </a:ln>
            <a:effectLst/>
          </c:spPr>
          <c:invertIfNegative val="0"/>
          <c:dLbls>
            <c:dLbl>
              <c:idx val="3"/>
              <c:layout>
                <c:manualLayout>
                  <c:x val="-0.00833333333333333"/>
                  <c:y val="-0.0583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solidFill>
                <a:schemeClr val="accent4">
                  <a:lumMod val="20000"/>
                  <a:lumOff val="80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[工作簿1.xlsx]Sheet1!$E$15:$I$15</c:f>
              <c:strCache>
                <c:ptCount val="5"/>
                <c:pt idx="0">
                  <c:v>2019年</c:v>
                </c:pt>
                <c:pt idx="1">
                  <c:v>2020年</c:v>
                </c:pt>
                <c:pt idx="2">
                  <c:v>2021年</c:v>
                </c:pt>
                <c:pt idx="3">
                  <c:v>2022年</c:v>
                </c:pt>
                <c:pt idx="4">
                  <c:v>2023年</c:v>
                </c:pt>
              </c:strCache>
            </c:strRef>
          </c:cat>
          <c:val>
            <c:numRef>
              <c:f>[工作簿1.xlsx]Sheet1!$E$16:$I$16</c:f>
              <c:numCache>
                <c:formatCode>General</c:formatCode>
                <c:ptCount val="5"/>
                <c:pt idx="0">
                  <c:v>180678</c:v>
                </c:pt>
                <c:pt idx="1">
                  <c:v>195681</c:v>
                </c:pt>
                <c:pt idx="2">
                  <c:v>222420</c:v>
                </c:pt>
                <c:pt idx="3">
                  <c:v>246918</c:v>
                </c:pt>
                <c:pt idx="4">
                  <c:v>269329</c:v>
                </c:pt>
              </c:numCache>
            </c:numRef>
          </c:val>
        </c:ser>
        <c:dLbls>
          <c:showLegendKey val="0"/>
          <c:showVal val="1"/>
          <c:showCatName val="0"/>
          <c:showSerName val="0"/>
          <c:showPercent val="0"/>
          <c:showBubbleSize val="0"/>
        </c:dLbls>
        <c:gapWidth val="219"/>
        <c:overlap val="-27"/>
        <c:axId val="75237346"/>
        <c:axId val="985018441"/>
      </c:barChart>
      <c:lineChart>
        <c:grouping val="standard"/>
        <c:varyColors val="0"/>
        <c:ser>
          <c:idx val="1"/>
          <c:order val="1"/>
          <c:tx>
            <c:strRef>
              <c:f>[工作簿1.xlsx]Sheet1!$D$17</c:f>
              <c:strCache>
                <c:ptCount val="1"/>
                <c:pt idx="0">
                  <c:v>比上年增长</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[工作簿1.xlsx]Sheet1!$E$15:$I$15</c:f>
              <c:strCache>
                <c:ptCount val="5"/>
                <c:pt idx="0">
                  <c:v>2019年</c:v>
                </c:pt>
                <c:pt idx="1">
                  <c:v>2020年</c:v>
                </c:pt>
                <c:pt idx="2">
                  <c:v>2021年</c:v>
                </c:pt>
                <c:pt idx="3">
                  <c:v>2022年</c:v>
                </c:pt>
                <c:pt idx="4">
                  <c:v>2023年</c:v>
                </c:pt>
              </c:strCache>
            </c:strRef>
          </c:cat>
          <c:val>
            <c:numRef>
              <c:f>[工作簿1.xlsx]Sheet1!$E$17:$I$17</c:f>
              <c:numCache>
                <c:formatCode>General</c:formatCode>
                <c:ptCount val="5"/>
                <c:pt idx="0">
                  <c:v>4.9</c:v>
                </c:pt>
                <c:pt idx="1">
                  <c:v>4.4</c:v>
                </c:pt>
                <c:pt idx="2">
                  <c:v>5.6</c:v>
                </c:pt>
                <c:pt idx="3">
                  <c:v>8.2</c:v>
                </c:pt>
                <c:pt idx="4">
                  <c:v>1.9</c:v>
                </c:pt>
              </c:numCache>
            </c:numRef>
          </c:val>
          <c:smooth val="0"/>
        </c:ser>
        <c:dLbls>
          <c:showLegendKey val="0"/>
          <c:showVal val="1"/>
          <c:showCatName val="0"/>
          <c:showSerName val="0"/>
          <c:showPercent val="0"/>
          <c:showBubbleSize val="0"/>
        </c:dLbls>
        <c:marker val="0"/>
        <c:smooth val="0"/>
        <c:axId val="301234225"/>
        <c:axId val="352273038"/>
      </c:lineChart>
      <c:catAx>
        <c:axId val="752373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018441"/>
        <c:crosses val="autoZero"/>
        <c:auto val="1"/>
        <c:lblAlgn val="ctr"/>
        <c:lblOffset val="100"/>
        <c:noMultiLvlLbl val="0"/>
      </c:catAx>
      <c:valAx>
        <c:axId val="9850184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37346"/>
        <c:crosses val="autoZero"/>
        <c:crossBetween val="between"/>
      </c:valAx>
      <c:catAx>
        <c:axId val="301234225"/>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273038"/>
        <c:crosses val="autoZero"/>
        <c:auto val="1"/>
        <c:lblAlgn val="ctr"/>
        <c:lblOffset val="100"/>
        <c:noMultiLvlLbl val="0"/>
      </c:catAx>
      <c:valAx>
        <c:axId val="352273038"/>
        <c:scaling>
          <c:orientation val="minMax"/>
        </c:scaling>
        <c:delete val="0"/>
        <c:axPos val="r"/>
        <c:numFmt formatCode="0.00_);[Red]\(0.0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234225"/>
        <c:crosses val="max"/>
        <c:crossBetween val="between"/>
      </c:valAx>
      <c:spPr>
        <a:noFill/>
        <a:ln w="12700" cmpd="sng">
          <a:solidFill>
            <a:schemeClr val="accent1"/>
          </a:solidFill>
          <a:prstDash val="sysDot"/>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970887918486"/>
          <c:y val="0.160556596200161"/>
          <c:w val="0.857884522076662"/>
          <c:h val="0.61985549906342"/>
        </c:manualLayout>
      </c:layout>
      <c:barChart>
        <c:barDir val="col"/>
        <c:grouping val="stacked"/>
        <c:varyColors val="0"/>
        <c:ser>
          <c:idx val="0"/>
          <c:order val="0"/>
          <c:tx>
            <c:strRef>
              <c:f>[工作簿1.xlsx]Sheet1!$H$38</c:f>
              <c:strCache>
                <c:ptCount val="1"/>
                <c:pt idx="0">
                  <c:v>第一产业占比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[工作簿1.xlsx]Sheet1!$I$37:$M$37</c:f>
              <c:strCache>
                <c:ptCount val="5"/>
                <c:pt idx="0">
                  <c:v>2019年</c:v>
                </c:pt>
                <c:pt idx="1">
                  <c:v>2020年</c:v>
                </c:pt>
                <c:pt idx="2">
                  <c:v>2021年</c:v>
                </c:pt>
                <c:pt idx="3">
                  <c:v>2022年</c:v>
                </c:pt>
                <c:pt idx="4">
                  <c:v>2023年</c:v>
                </c:pt>
              </c:strCache>
            </c:strRef>
          </c:cat>
          <c:val>
            <c:numRef>
              <c:f>[工作簿1.xlsx]Sheet1!$I$38:$M$38</c:f>
              <c:numCache>
                <c:formatCode>0.0_ </c:formatCode>
                <c:ptCount val="5"/>
                <c:pt idx="0">
                  <c:v>38.4988423614675</c:v>
                </c:pt>
                <c:pt idx="1">
                  <c:v>39.8</c:v>
                </c:pt>
                <c:pt idx="2">
                  <c:v>42.1125586030054</c:v>
                </c:pt>
                <c:pt idx="3">
                  <c:v>42.1847831791161</c:v>
                </c:pt>
                <c:pt idx="4" c:formatCode="General">
                  <c:v>46.6</c:v>
                </c:pt>
              </c:numCache>
            </c:numRef>
          </c:val>
        </c:ser>
        <c:ser>
          <c:idx val="1"/>
          <c:order val="1"/>
          <c:tx>
            <c:strRef>
              <c:f>[工作簿1.xlsx]Sheet1!$H$39</c:f>
              <c:strCache>
                <c:ptCount val="1"/>
                <c:pt idx="0">
                  <c:v>第二产业占比</c:v>
                </c:pt>
              </c:strCache>
            </c:strRef>
          </c:tx>
          <c:spPr>
            <a:solidFill>
              <a:schemeClr val="accent2"/>
            </a:solidFill>
            <a:ln>
              <a:noFill/>
            </a:ln>
            <a:effectLst/>
          </c:spPr>
          <c:invertIfNegative val="0"/>
          <c:dLbls>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[工作簿1.xlsx]Sheet1!$I$37:$M$37</c:f>
              <c:strCache>
                <c:ptCount val="5"/>
                <c:pt idx="0">
                  <c:v>2019年</c:v>
                </c:pt>
                <c:pt idx="1">
                  <c:v>2020年</c:v>
                </c:pt>
                <c:pt idx="2">
                  <c:v>2021年</c:v>
                </c:pt>
                <c:pt idx="3">
                  <c:v>2022年</c:v>
                </c:pt>
                <c:pt idx="4">
                  <c:v>2023年</c:v>
                </c:pt>
              </c:strCache>
            </c:strRef>
          </c:cat>
          <c:val>
            <c:numRef>
              <c:f>[工作簿1.xlsx]Sheet1!$I$39:$M$39</c:f>
              <c:numCache>
                <c:formatCode>0.0_ </c:formatCode>
                <c:ptCount val="5"/>
                <c:pt idx="0">
                  <c:v>10.5</c:v>
                </c:pt>
                <c:pt idx="1">
                  <c:v>11.6596701893611</c:v>
                </c:pt>
                <c:pt idx="2">
                  <c:v>9.95298290910284</c:v>
                </c:pt>
                <c:pt idx="3">
                  <c:v>12.7023965472218</c:v>
                </c:pt>
                <c:pt idx="4" c:formatCode="General">
                  <c:v>9.9</c:v>
                </c:pt>
              </c:numCache>
            </c:numRef>
          </c:val>
        </c:ser>
        <c:ser>
          <c:idx val="2"/>
          <c:order val="2"/>
          <c:tx>
            <c:strRef>
              <c:f>[工作簿1.xlsx]Sheet1!$H$40</c:f>
              <c:strCache>
                <c:ptCount val="1"/>
                <c:pt idx="0">
                  <c:v>第三产业占比</c:v>
                </c:pt>
              </c:strCache>
            </c:strRef>
          </c:tx>
          <c:spPr>
            <a:solidFill>
              <a:schemeClr val="accent3"/>
            </a:solidFill>
            <a:ln>
              <a:noFill/>
            </a:ln>
            <a:effectLst/>
          </c:spPr>
          <c:invertIfNegative val="0"/>
          <c:dLbls>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43.</a:t>
                    </a:r>
                    <a:r>
                      <a:rPr lang="en-US" altLang="zh-CN"/>
                      <a:t>6</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[工作簿1.xlsx]Sheet1!$I$37:$M$37</c:f>
              <c:strCache>
                <c:ptCount val="5"/>
                <c:pt idx="0">
                  <c:v>2019年</c:v>
                </c:pt>
                <c:pt idx="1">
                  <c:v>2020年</c:v>
                </c:pt>
                <c:pt idx="2">
                  <c:v>2021年</c:v>
                </c:pt>
                <c:pt idx="3">
                  <c:v>2022年</c:v>
                </c:pt>
                <c:pt idx="4">
                  <c:v>2023年</c:v>
                </c:pt>
              </c:strCache>
            </c:strRef>
          </c:cat>
          <c:val>
            <c:numRef>
              <c:f>[工作簿1.xlsx]Sheet1!$I$40:$M$40</c:f>
              <c:numCache>
                <c:formatCode>0.0_ </c:formatCode>
                <c:ptCount val="5"/>
                <c:pt idx="0">
                  <c:v>50.9505686796899</c:v>
                </c:pt>
                <c:pt idx="1">
                  <c:v>48.4536615870502</c:v>
                </c:pt>
                <c:pt idx="2">
                  <c:v>47.9344584878915</c:v>
                </c:pt>
                <c:pt idx="3">
                  <c:v>45.1128202736622</c:v>
                </c:pt>
                <c:pt idx="4" c:formatCode="General">
                  <c:v>43.5</c:v>
                </c:pt>
              </c:numCache>
            </c:numRef>
          </c:val>
        </c:ser>
        <c:dLbls>
          <c:showLegendKey val="0"/>
          <c:showVal val="1"/>
          <c:showCatName val="0"/>
          <c:showSerName val="0"/>
          <c:showPercent val="0"/>
          <c:showBubbleSize val="0"/>
        </c:dLbls>
        <c:gapWidth val="219"/>
        <c:overlap val="100"/>
        <c:axId val="874954145"/>
        <c:axId val="50144538"/>
      </c:barChart>
      <c:catAx>
        <c:axId val="874954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44538"/>
        <c:crosses val="autoZero"/>
        <c:auto val="1"/>
        <c:lblAlgn val="ctr"/>
        <c:lblOffset val="100"/>
        <c:noMultiLvlLbl val="0"/>
      </c:catAx>
      <c:valAx>
        <c:axId val="50144538"/>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9541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1846073161138"/>
          <c:y val="0.173399390243902"/>
          <c:w val="0.792683886193785"/>
          <c:h val="0.643178353658537"/>
        </c:manualLayout>
      </c:layout>
      <c:barChart>
        <c:barDir val="col"/>
        <c:grouping val="clustered"/>
        <c:varyColors val="0"/>
        <c:ser>
          <c:idx val="0"/>
          <c:order val="0"/>
          <c:tx>
            <c:strRef>
              <c:f>[工作簿1.xlsx]Sheet1!$B$58</c:f>
              <c:strCache>
                <c:ptCount val="1"/>
                <c:pt idx="0">
                  <c:v>工业增加值（万元）</c:v>
                </c:pt>
              </c:strCache>
            </c:strRef>
          </c:tx>
          <c:spPr>
            <a:solidFill>
              <a:schemeClr val="accent1"/>
            </a:solidFill>
            <a:ln>
              <a:noFill/>
            </a:ln>
            <a:effectLst/>
          </c:spPr>
          <c:invertIfNegative val="0"/>
          <c:dLbls>
            <c:spPr>
              <a:solidFill>
                <a:schemeClr val="accent4">
                  <a:lumMod val="40000"/>
                  <a:lumOff val="60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[工作簿1.xlsx]Sheet1!$C$57:$G$57</c:f>
              <c:strCache>
                <c:ptCount val="5"/>
                <c:pt idx="0">
                  <c:v>2019年</c:v>
                </c:pt>
                <c:pt idx="1">
                  <c:v>2020年</c:v>
                </c:pt>
                <c:pt idx="2">
                  <c:v>2021年</c:v>
                </c:pt>
                <c:pt idx="3">
                  <c:v>2022年</c:v>
                </c:pt>
                <c:pt idx="4">
                  <c:v>2023年</c:v>
                </c:pt>
              </c:strCache>
            </c:strRef>
          </c:cat>
          <c:val>
            <c:numRef>
              <c:f>[工作簿1.xlsx]Sheet1!$C$58:$G$58</c:f>
              <c:numCache>
                <c:formatCode>General</c:formatCode>
                <c:ptCount val="5"/>
                <c:pt idx="0">
                  <c:v>9408</c:v>
                </c:pt>
                <c:pt idx="1">
                  <c:v>10977</c:v>
                </c:pt>
                <c:pt idx="2">
                  <c:v>7751</c:v>
                </c:pt>
                <c:pt idx="3">
                  <c:v>8983</c:v>
                </c:pt>
                <c:pt idx="4">
                  <c:v>8683</c:v>
                </c:pt>
              </c:numCache>
            </c:numRef>
          </c:val>
        </c:ser>
        <c:dLbls>
          <c:showLegendKey val="0"/>
          <c:showVal val="1"/>
          <c:showCatName val="0"/>
          <c:showSerName val="0"/>
          <c:showPercent val="0"/>
          <c:showBubbleSize val="0"/>
        </c:dLbls>
        <c:gapWidth val="219"/>
        <c:overlap val="-27"/>
        <c:axId val="41327363"/>
        <c:axId val="970460015"/>
      </c:barChart>
      <c:lineChart>
        <c:grouping val="standard"/>
        <c:varyColors val="0"/>
        <c:ser>
          <c:idx val="1"/>
          <c:order val="1"/>
          <c:tx>
            <c:strRef>
              <c:f>[工作簿1.xlsx]Sheet1!$B$59</c:f>
              <c:strCache>
                <c:ptCount val="1"/>
                <c:pt idx="0">
                  <c:v>比上年增长（%）</c:v>
                </c:pt>
              </c:strCache>
            </c:strRef>
          </c:tx>
          <c:spPr>
            <a:ln w="28575" cap="rnd">
              <a:solidFill>
                <a:schemeClr val="accent2"/>
              </a:solidFill>
              <a:round/>
            </a:ln>
            <a:effectLst/>
          </c:spPr>
          <c:marker>
            <c:symbol val="none"/>
          </c:marker>
          <c:dLbls>
            <c:dLbl>
              <c:idx val="1"/>
              <c:layout>
                <c:manualLayout>
                  <c:x val="0.0104500487668942"/>
                  <c:y val="-0.06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[工作簿1.xlsx]Sheet1!$C$57:$G$57</c:f>
              <c:strCache>
                <c:ptCount val="5"/>
                <c:pt idx="0">
                  <c:v>2019年</c:v>
                </c:pt>
                <c:pt idx="1">
                  <c:v>2020年</c:v>
                </c:pt>
                <c:pt idx="2">
                  <c:v>2021年</c:v>
                </c:pt>
                <c:pt idx="3">
                  <c:v>2022年</c:v>
                </c:pt>
                <c:pt idx="4">
                  <c:v>2023年</c:v>
                </c:pt>
              </c:strCache>
            </c:strRef>
          </c:cat>
          <c:val>
            <c:numRef>
              <c:f>[工作簿1.xlsx]Sheet1!$C$59:$G$59</c:f>
              <c:numCache>
                <c:formatCode>General</c:formatCode>
                <c:ptCount val="5"/>
                <c:pt idx="0">
                  <c:v>2</c:v>
                </c:pt>
                <c:pt idx="1">
                  <c:v>6.7</c:v>
                </c:pt>
                <c:pt idx="2">
                  <c:v>-37.2</c:v>
                </c:pt>
                <c:pt idx="3">
                  <c:v>4.2</c:v>
                </c:pt>
                <c:pt idx="4">
                  <c:v>-3.3</c:v>
                </c:pt>
              </c:numCache>
            </c:numRef>
          </c:val>
          <c:smooth val="0"/>
        </c:ser>
        <c:dLbls>
          <c:showLegendKey val="0"/>
          <c:showVal val="1"/>
          <c:showCatName val="0"/>
          <c:showSerName val="0"/>
          <c:showPercent val="0"/>
          <c:showBubbleSize val="0"/>
        </c:dLbls>
        <c:marker val="0"/>
        <c:smooth val="0"/>
        <c:axId val="359869126"/>
        <c:axId val="228854948"/>
      </c:lineChart>
      <c:catAx>
        <c:axId val="413273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460015"/>
        <c:crosses val="autoZero"/>
        <c:auto val="1"/>
        <c:lblAlgn val="ctr"/>
        <c:lblOffset val="100"/>
        <c:noMultiLvlLbl val="0"/>
      </c:catAx>
      <c:valAx>
        <c:axId val="970460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27363"/>
        <c:crosses val="autoZero"/>
        <c:crossBetween val="between"/>
      </c:valAx>
      <c:catAx>
        <c:axId val="35986912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854948"/>
        <c:crosses val="autoZero"/>
        <c:auto val="1"/>
        <c:lblAlgn val="ctr"/>
        <c:lblOffset val="100"/>
        <c:noMultiLvlLbl val="0"/>
      </c:catAx>
      <c:valAx>
        <c:axId val="228854948"/>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869126"/>
        <c:crosses val="max"/>
        <c:crossBetween val="between"/>
      </c:valAx>
      <c:spPr>
        <a:noFill/>
        <a:ln>
          <a:noFill/>
        </a:ln>
        <a:effectLst/>
      </c:spPr>
    </c:plotArea>
    <c:legend>
      <c:legendPos val="b"/>
      <c:layout>
        <c:manualLayout>
          <c:xMode val="edge"/>
          <c:yMode val="edge"/>
          <c:x val="0.211996655984395"/>
          <c:y val="0.9133003048780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42588354945"/>
          <c:y val="0.1548463356974"/>
          <c:w val="0.800254258835494"/>
          <c:h val="0.627990543735225"/>
        </c:manualLayout>
      </c:layout>
      <c:barChart>
        <c:barDir val="col"/>
        <c:grouping val="stacked"/>
        <c:varyColors val="0"/>
        <c:ser>
          <c:idx val="0"/>
          <c:order val="0"/>
          <c:tx>
            <c:strRef>
              <c:f>[工作簿1.xlsx]Sheet1!$B$70</c:f>
              <c:strCache>
                <c:ptCount val="1"/>
                <c:pt idx="0">
                  <c:v>建筑业增加值（万元）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3"/>
              <c:layout>
                <c:manualLayout>
                  <c:x val="0.00835421888053467"/>
                  <c:y val="-0.16319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[工作簿1.xlsx]Sheet1!$C$69:$G$69</c:f>
              <c:strCache>
                <c:ptCount val="5"/>
                <c:pt idx="0">
                  <c:v>2019年</c:v>
                </c:pt>
                <c:pt idx="1">
                  <c:v>2020年</c:v>
                </c:pt>
                <c:pt idx="2">
                  <c:v>2021年</c:v>
                </c:pt>
                <c:pt idx="3">
                  <c:v>2022年</c:v>
                </c:pt>
                <c:pt idx="4">
                  <c:v>2023年</c:v>
                </c:pt>
              </c:strCache>
            </c:strRef>
          </c:cat>
          <c:val>
            <c:numRef>
              <c:f>[工作簿1.xlsx]Sheet1!$C$70:$G$70</c:f>
              <c:numCache>
                <c:formatCode>General</c:formatCode>
                <c:ptCount val="5"/>
                <c:pt idx="0">
                  <c:v>9655</c:v>
                </c:pt>
                <c:pt idx="1">
                  <c:v>11839</c:v>
                </c:pt>
                <c:pt idx="2">
                  <c:v>14386</c:v>
                </c:pt>
                <c:pt idx="3">
                  <c:v>22382</c:v>
                </c:pt>
                <c:pt idx="4">
                  <c:v>17781</c:v>
                </c:pt>
              </c:numCache>
            </c:numRef>
          </c:val>
        </c:ser>
        <c:dLbls>
          <c:showLegendKey val="0"/>
          <c:showVal val="1"/>
          <c:showCatName val="0"/>
          <c:showSerName val="0"/>
          <c:showPercent val="0"/>
          <c:showBubbleSize val="0"/>
        </c:dLbls>
        <c:gapWidth val="219"/>
        <c:overlap val="100"/>
        <c:axId val="225463321"/>
        <c:axId val="894526266"/>
      </c:barChart>
      <c:lineChart>
        <c:grouping val="standard"/>
        <c:varyColors val="0"/>
        <c:ser>
          <c:idx val="1"/>
          <c:order val="1"/>
          <c:tx>
            <c:strRef>
              <c:f>[工作簿1.xlsx]Sheet1!$B$71</c:f>
              <c:strCache>
                <c:ptCount val="1"/>
                <c:pt idx="0">
                  <c:v>比上年增长（%）</c:v>
                </c:pt>
              </c:strCache>
            </c:strRef>
          </c:tx>
          <c:spPr>
            <a:ln w="31750"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[工作簿1.xlsx]Sheet1!$C$69:$G$69</c:f>
              <c:strCache>
                <c:ptCount val="5"/>
                <c:pt idx="0">
                  <c:v>2019年</c:v>
                </c:pt>
                <c:pt idx="1">
                  <c:v>2020年</c:v>
                </c:pt>
                <c:pt idx="2">
                  <c:v>2021年</c:v>
                </c:pt>
                <c:pt idx="3">
                  <c:v>2022年</c:v>
                </c:pt>
                <c:pt idx="4">
                  <c:v>2023年</c:v>
                </c:pt>
              </c:strCache>
            </c:strRef>
          </c:cat>
          <c:val>
            <c:numRef>
              <c:f>[工作簿1.xlsx]Sheet1!$C$71:$G$71</c:f>
              <c:numCache>
                <c:formatCode>General</c:formatCode>
                <c:ptCount val="5"/>
                <c:pt idx="0">
                  <c:v>-2.4</c:v>
                </c:pt>
                <c:pt idx="1">
                  <c:v>25.6</c:v>
                </c:pt>
                <c:pt idx="2">
                  <c:v>10.1</c:v>
                </c:pt>
                <c:pt idx="3">
                  <c:v>60.1</c:v>
                </c:pt>
                <c:pt idx="4">
                  <c:v>-19.8</c:v>
                </c:pt>
              </c:numCache>
            </c:numRef>
          </c:val>
          <c:smooth val="0"/>
        </c:ser>
        <c:dLbls>
          <c:showLegendKey val="0"/>
          <c:showVal val="1"/>
          <c:showCatName val="0"/>
          <c:showSerName val="0"/>
          <c:showPercent val="0"/>
          <c:showBubbleSize val="0"/>
        </c:dLbls>
        <c:marker val="0"/>
        <c:smooth val="0"/>
        <c:axId val="252677833"/>
        <c:axId val="918174921"/>
      </c:lineChart>
      <c:catAx>
        <c:axId val="225463321"/>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894526266"/>
        <c:crosses val="autoZero"/>
        <c:auto val="1"/>
        <c:lblAlgn val="ctr"/>
        <c:lblOffset val="100"/>
        <c:noMultiLvlLbl val="0"/>
      </c:catAx>
      <c:valAx>
        <c:axId val="89452626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25463321"/>
        <c:crosses val="autoZero"/>
        <c:crossBetween val="between"/>
      </c:valAx>
      <c:catAx>
        <c:axId val="252677833"/>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18174921"/>
        <c:crosses val="autoZero"/>
        <c:auto val="1"/>
        <c:lblAlgn val="ctr"/>
        <c:lblOffset val="100"/>
        <c:noMultiLvlLbl val="0"/>
      </c:catAx>
      <c:valAx>
        <c:axId val="918174921"/>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267783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60427807487"/>
          <c:y val="0.148161017763501"/>
          <c:w val="0.834945602306986"/>
          <c:h val="0.627638888888889"/>
        </c:manualLayout>
      </c:layout>
      <c:barChart>
        <c:barDir val="col"/>
        <c:grouping val="clustered"/>
        <c:varyColors val="0"/>
        <c:ser>
          <c:idx val="0"/>
          <c:order val="0"/>
          <c:tx>
            <c:strRef>
              <c:f>[工作簿1.xlsx]Sheet1!$B$93</c:f>
              <c:strCache>
                <c:ptCount val="1"/>
                <c:pt idx="0">
                  <c:v>第三产业增加值（万元）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[工作簿1.xlsx]Sheet1!$C$92:$G$92</c:f>
              <c:strCache>
                <c:ptCount val="5"/>
                <c:pt idx="0">
                  <c:v>2019年</c:v>
                </c:pt>
                <c:pt idx="1">
                  <c:v>2020年</c:v>
                </c:pt>
                <c:pt idx="2">
                  <c:v>2021年</c:v>
                </c:pt>
                <c:pt idx="3">
                  <c:v>2022年</c:v>
                </c:pt>
                <c:pt idx="4">
                  <c:v>2023年</c:v>
                </c:pt>
              </c:strCache>
            </c:strRef>
          </c:cat>
          <c:val>
            <c:numRef>
              <c:f>[工作簿1.xlsx]Sheet1!$C$93:$G$93</c:f>
              <c:numCache>
                <c:formatCode>General</c:formatCode>
                <c:ptCount val="5"/>
                <c:pt idx="0">
                  <c:v>92057</c:v>
                </c:pt>
                <c:pt idx="1">
                  <c:v>94815</c:v>
                </c:pt>
                <c:pt idx="2">
                  <c:v>106616</c:v>
                </c:pt>
                <c:pt idx="3">
                  <c:v>111392</c:v>
                </c:pt>
                <c:pt idx="4">
                  <c:v>117305</c:v>
                </c:pt>
              </c:numCache>
            </c:numRef>
          </c:val>
        </c:ser>
        <c:dLbls>
          <c:showLegendKey val="0"/>
          <c:showVal val="1"/>
          <c:showCatName val="0"/>
          <c:showSerName val="0"/>
          <c:showPercent val="0"/>
          <c:showBubbleSize val="0"/>
        </c:dLbls>
        <c:gapWidth val="219"/>
        <c:overlap val="-27"/>
        <c:axId val="666095980"/>
        <c:axId val="151891759"/>
      </c:barChart>
      <c:lineChart>
        <c:grouping val="standard"/>
        <c:varyColors val="0"/>
        <c:ser>
          <c:idx val="1"/>
          <c:order val="1"/>
          <c:tx>
            <c:strRef>
              <c:f>[工作簿1.xlsx]Sheet1!$B$94</c:f>
              <c:strCache>
                <c:ptCount val="1"/>
                <c:pt idx="0">
                  <c:v>比上年增长（%）</c:v>
                </c:pt>
              </c:strCache>
            </c:strRef>
          </c:tx>
          <c:spPr>
            <a:ln w="31750"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[工作簿1.xlsx]Sheet1!$C$92:$G$92</c:f>
              <c:strCache>
                <c:ptCount val="5"/>
                <c:pt idx="0">
                  <c:v>2019年</c:v>
                </c:pt>
                <c:pt idx="1">
                  <c:v>2020年</c:v>
                </c:pt>
                <c:pt idx="2">
                  <c:v>2021年</c:v>
                </c:pt>
                <c:pt idx="3">
                  <c:v>2022年</c:v>
                </c:pt>
                <c:pt idx="4">
                  <c:v>2023年</c:v>
                </c:pt>
              </c:strCache>
            </c:strRef>
          </c:cat>
          <c:val>
            <c:numRef>
              <c:f>[工作簿1.xlsx]Sheet1!$C$94:$G$94</c:f>
              <c:numCache>
                <c:formatCode>General</c:formatCode>
                <c:ptCount val="5"/>
                <c:pt idx="0">
                  <c:v>5.7</c:v>
                </c:pt>
                <c:pt idx="1">
                  <c:v>4.1</c:v>
                </c:pt>
                <c:pt idx="2">
                  <c:v>11.9</c:v>
                </c:pt>
                <c:pt idx="3">
                  <c:v>4.8</c:v>
                </c:pt>
                <c:pt idx="4">
                  <c:v>3.4</c:v>
                </c:pt>
              </c:numCache>
            </c:numRef>
          </c:val>
          <c:smooth val="0"/>
        </c:ser>
        <c:dLbls>
          <c:showLegendKey val="0"/>
          <c:showVal val="1"/>
          <c:showCatName val="0"/>
          <c:showSerName val="0"/>
          <c:showPercent val="0"/>
          <c:showBubbleSize val="0"/>
        </c:dLbls>
        <c:marker val="0"/>
        <c:smooth val="0"/>
        <c:axId val="94871257"/>
        <c:axId val="248847859"/>
      </c:lineChart>
      <c:catAx>
        <c:axId val="66609598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51891759"/>
        <c:crosses val="autoZero"/>
        <c:auto val="1"/>
        <c:lblAlgn val="ctr"/>
        <c:lblOffset val="100"/>
        <c:noMultiLvlLbl val="0"/>
      </c:catAx>
      <c:valAx>
        <c:axId val="15189175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666095980"/>
        <c:crosses val="autoZero"/>
        <c:crossBetween val="between"/>
      </c:valAx>
      <c:catAx>
        <c:axId val="94871257"/>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48847859"/>
        <c:crosses val="autoZero"/>
        <c:auto val="1"/>
        <c:lblAlgn val="ctr"/>
        <c:lblOffset val="100"/>
        <c:noMultiLvlLbl val="0"/>
      </c:catAx>
      <c:valAx>
        <c:axId val="248847859"/>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487125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万元</a:t>
            </a:r>
          </a:p>
        </c:rich>
      </c:tx>
      <c:layout>
        <c:manualLayout>
          <c:xMode val="edge"/>
          <c:yMode val="edge"/>
          <c:x val="0.0132091212458287"/>
          <c:y val="0.0381944444444444"/>
        </c:manualLayout>
      </c:layout>
      <c:overlay val="0"/>
      <c:spPr>
        <a:noFill/>
        <a:ln>
          <a:noFill/>
        </a:ln>
        <a:effectLst/>
      </c:spPr>
    </c:title>
    <c:autoTitleDeleted val="0"/>
    <c:plotArea>
      <c:layout/>
      <c:barChart>
        <c:barDir val="col"/>
        <c:grouping val="stacked"/>
        <c:varyColors val="0"/>
        <c:ser>
          <c:idx val="0"/>
          <c:order val="0"/>
          <c:tx>
            <c:strRef>
              <c:f>[工作簿1.xlsx]Sheet1!$I$121</c:f>
              <c:strCache>
                <c:ptCount val="1"/>
                <c:pt idx="0">
                  <c:v>一般公共预算收入（万元）</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[工作簿1.xlsx]Sheet1!$J$120:$N$120</c:f>
              <c:strCache>
                <c:ptCount val="5"/>
                <c:pt idx="0">
                  <c:v>2019年</c:v>
                </c:pt>
                <c:pt idx="1">
                  <c:v>2020年</c:v>
                </c:pt>
                <c:pt idx="2">
                  <c:v>2021年</c:v>
                </c:pt>
                <c:pt idx="3">
                  <c:v>2022年</c:v>
                </c:pt>
                <c:pt idx="4">
                  <c:v>2023年</c:v>
                </c:pt>
              </c:strCache>
            </c:strRef>
          </c:cat>
          <c:val>
            <c:numRef>
              <c:f>[工作簿1.xlsx]Sheet1!$J$121:$N$121</c:f>
              <c:numCache>
                <c:formatCode>General</c:formatCode>
                <c:ptCount val="5"/>
                <c:pt idx="0">
                  <c:v>12930</c:v>
                </c:pt>
                <c:pt idx="1">
                  <c:v>11018</c:v>
                </c:pt>
                <c:pt idx="2">
                  <c:v>8101</c:v>
                </c:pt>
                <c:pt idx="3">
                  <c:v>10098</c:v>
                </c:pt>
                <c:pt idx="4">
                  <c:v>13249</c:v>
                </c:pt>
              </c:numCache>
            </c:numRef>
          </c:val>
        </c:ser>
        <c:dLbls>
          <c:showLegendKey val="0"/>
          <c:showVal val="1"/>
          <c:showCatName val="0"/>
          <c:showSerName val="0"/>
          <c:showPercent val="0"/>
          <c:showBubbleSize val="0"/>
        </c:dLbls>
        <c:gapWidth val="150"/>
        <c:overlap val="100"/>
        <c:axId val="217071702"/>
        <c:axId val="618440357"/>
      </c:barChart>
      <c:catAx>
        <c:axId val="21707170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618440357"/>
        <c:crosses val="autoZero"/>
        <c:auto val="1"/>
        <c:lblAlgn val="ctr"/>
        <c:lblOffset val="100"/>
        <c:noMultiLvlLbl val="0"/>
      </c:catAx>
      <c:valAx>
        <c:axId val="61844035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1707170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83333333333"/>
          <c:y val="0.15625"/>
          <c:w val="0.8315"/>
          <c:h val="0.626944444444444"/>
        </c:manualLayout>
      </c:layout>
      <c:barChart>
        <c:barDir val="col"/>
        <c:grouping val="clustered"/>
        <c:varyColors val="0"/>
        <c:ser>
          <c:idx val="0"/>
          <c:order val="0"/>
          <c:tx>
            <c:strRef>
              <c:f>'[裕民县历年以来可支配收入、人均收入表4.7(1).xls]Sheet1'!$C$10</c:f>
              <c:strCache>
                <c:ptCount val="1"/>
                <c:pt idx="0">
                  <c:v>城镇居民人均可支配收入</c:v>
                </c:pt>
              </c:strCache>
            </c:strRef>
          </c:tx>
          <c:spPr>
            <a:solidFill>
              <a:schemeClr val="accent1"/>
            </a:solidFill>
            <a:ln>
              <a:noFill/>
            </a:ln>
            <a:effectLst/>
          </c:spPr>
          <c:invertIfNegative val="0"/>
          <c:dLbls>
            <c:numFmt formatCode="General" sourceLinked="1"/>
            <c:spPr>
              <a:solidFill>
                <a:schemeClr val="bg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'[裕民县历年以来可支配收入、人均收入表4.7(1).xls]Sheet1'!$D$9:$H$9</c:f>
              <c:numCache>
                <c:formatCode>General</c:formatCode>
                <c:ptCount val="5"/>
                <c:pt idx="0">
                  <c:v>2019</c:v>
                </c:pt>
                <c:pt idx="1">
                  <c:v>2020</c:v>
                </c:pt>
                <c:pt idx="2">
                  <c:v>2021</c:v>
                </c:pt>
                <c:pt idx="3">
                  <c:v>2022</c:v>
                </c:pt>
                <c:pt idx="4">
                  <c:v>2023</c:v>
                </c:pt>
              </c:numCache>
            </c:numRef>
          </c:cat>
          <c:val>
            <c:numRef>
              <c:f>'[裕民县历年以来可支配收入、人均收入表4.7(1).xls]Sheet1'!$D$10:$H$10</c:f>
              <c:numCache>
                <c:formatCode>0_ </c:formatCode>
                <c:ptCount val="5"/>
                <c:pt idx="0">
                  <c:v>27063</c:v>
                </c:pt>
                <c:pt idx="1">
                  <c:v>27442</c:v>
                </c:pt>
                <c:pt idx="2">
                  <c:v>29163.3</c:v>
                </c:pt>
                <c:pt idx="3">
                  <c:v>29922</c:v>
                </c:pt>
                <c:pt idx="4">
                  <c:v>31749</c:v>
                </c:pt>
              </c:numCache>
            </c:numRef>
          </c:val>
        </c:ser>
        <c:dLbls>
          <c:showLegendKey val="0"/>
          <c:showVal val="0"/>
          <c:showCatName val="0"/>
          <c:showSerName val="0"/>
          <c:showPercent val="0"/>
          <c:showBubbleSize val="0"/>
        </c:dLbls>
        <c:gapWidth val="219"/>
        <c:overlap val="-27"/>
        <c:axId val="866138557"/>
        <c:axId val="654434255"/>
      </c:barChart>
      <c:lineChart>
        <c:grouping val="standard"/>
        <c:varyColors val="0"/>
        <c:ser>
          <c:idx val="1"/>
          <c:order val="1"/>
          <c:tx>
            <c:strRef>
              <c:f>'[裕民县历年以来可支配收入、人均收入表4.7(1).xls]Sheet1'!$C$11</c:f>
              <c:strCache>
                <c:ptCount val="1"/>
                <c:pt idx="0">
                  <c:v>比上年增长</c:v>
                </c:pt>
              </c:strCache>
            </c:strRef>
          </c:tx>
          <c:spPr>
            <a:ln w="28575" cap="rnd" cmpd="sng" algn="ctr">
              <a:solidFill>
                <a:schemeClr val="accent2"/>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'[裕民县历年以来可支配收入、人均收入表4.7(1).xls]Sheet1'!$D$9:$H$9</c:f>
              <c:numCache>
                <c:formatCode>General</c:formatCode>
                <c:ptCount val="5"/>
                <c:pt idx="0">
                  <c:v>2019</c:v>
                </c:pt>
                <c:pt idx="1">
                  <c:v>2020</c:v>
                </c:pt>
                <c:pt idx="2">
                  <c:v>2021</c:v>
                </c:pt>
                <c:pt idx="3">
                  <c:v>2022</c:v>
                </c:pt>
                <c:pt idx="4">
                  <c:v>2023</c:v>
                </c:pt>
              </c:numCache>
            </c:numRef>
          </c:cat>
          <c:val>
            <c:numRef>
              <c:f>'[裕民县历年以来可支配收入、人均收入表4.7(1).xls]Sheet1'!$D$11:$H$11</c:f>
              <c:numCache>
                <c:formatCode>0.0_ </c:formatCode>
                <c:ptCount val="5"/>
                <c:pt idx="0">
                  <c:v>4.84252121024291</c:v>
                </c:pt>
                <c:pt idx="1">
                  <c:v>1.4</c:v>
                </c:pt>
                <c:pt idx="2">
                  <c:v>6.3</c:v>
                </c:pt>
                <c:pt idx="3">
                  <c:v>2.6</c:v>
                </c:pt>
                <c:pt idx="4">
                  <c:v>6.11</c:v>
                </c:pt>
              </c:numCache>
            </c:numRef>
          </c:val>
          <c:smooth val="0"/>
        </c:ser>
        <c:dLbls>
          <c:showLegendKey val="0"/>
          <c:showVal val="0"/>
          <c:showCatName val="0"/>
          <c:showSerName val="0"/>
          <c:showPercent val="0"/>
          <c:showBubbleSize val="0"/>
        </c:dLbls>
        <c:marker val="0"/>
        <c:smooth val="0"/>
        <c:axId val="890198016"/>
        <c:axId val="908088203"/>
      </c:lineChart>
      <c:catAx>
        <c:axId val="86613855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4434255"/>
        <c:crosses val="autoZero"/>
        <c:auto val="1"/>
        <c:lblAlgn val="ctr"/>
        <c:lblOffset val="100"/>
        <c:noMultiLvlLbl val="0"/>
      </c:catAx>
      <c:valAx>
        <c:axId val="65443425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6138557"/>
        <c:crosses val="autoZero"/>
        <c:crossBetween val="between"/>
      </c:valAx>
      <c:catAx>
        <c:axId val="8901980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908088203"/>
        <c:crosses val="autoZero"/>
        <c:auto val="1"/>
        <c:lblAlgn val="ctr"/>
        <c:lblOffset val="100"/>
        <c:noMultiLvlLbl val="0"/>
      </c:catAx>
      <c:valAx>
        <c:axId val="908088203"/>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19801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83333333333"/>
          <c:y val="0.149143219801142"/>
          <c:w val="0.818861111111111"/>
          <c:h val="0.652718426063042"/>
        </c:manualLayout>
      </c:layout>
      <c:barChart>
        <c:barDir val="col"/>
        <c:grouping val="clustered"/>
        <c:varyColors val="0"/>
        <c:ser>
          <c:idx val="0"/>
          <c:order val="0"/>
          <c:tx>
            <c:strRef>
              <c:f>'[裕民县历年以来可支配收入、人均收入表4.7(1).xls]Sheet1'!$C$5</c:f>
              <c:strCache>
                <c:ptCount val="1"/>
                <c:pt idx="0">
                  <c:v>农村居民人均可支配收入</c:v>
                </c:pt>
              </c:strCache>
            </c:strRef>
          </c:tx>
          <c:spPr>
            <a:solidFill>
              <a:schemeClr val="accent1"/>
            </a:solidFill>
            <a:ln>
              <a:noFill/>
            </a:ln>
            <a:effectLst/>
          </c:spPr>
          <c:invertIfNegative val="0"/>
          <c:dLbls>
            <c:numFmt formatCode="General" sourceLinked="1"/>
            <c:spPr>
              <a:solidFill>
                <a:schemeClr val="bg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'[裕民县历年以来可支配收入、人均收入表4.7(1).xls]Sheet1'!$D$4:$H$4</c:f>
              <c:numCache>
                <c:formatCode>General</c:formatCode>
                <c:ptCount val="5"/>
                <c:pt idx="0">
                  <c:v>2019</c:v>
                </c:pt>
                <c:pt idx="1">
                  <c:v>2020</c:v>
                </c:pt>
                <c:pt idx="2">
                  <c:v>2021</c:v>
                </c:pt>
                <c:pt idx="3">
                  <c:v>2022</c:v>
                </c:pt>
                <c:pt idx="4">
                  <c:v>2023</c:v>
                </c:pt>
              </c:numCache>
            </c:numRef>
          </c:cat>
          <c:val>
            <c:numRef>
              <c:f>'[裕民县历年以来可支配收入、人均收入表4.7(1).xls]Sheet1'!$D$5:$H$5</c:f>
              <c:numCache>
                <c:formatCode>0_ </c:formatCode>
                <c:ptCount val="5"/>
                <c:pt idx="0">
                  <c:v>14687</c:v>
                </c:pt>
                <c:pt idx="1">
                  <c:v>16082</c:v>
                </c:pt>
                <c:pt idx="2">
                  <c:v>17615.2</c:v>
                </c:pt>
                <c:pt idx="3">
                  <c:v>18906</c:v>
                </c:pt>
                <c:pt idx="4">
                  <c:v>20314</c:v>
                </c:pt>
              </c:numCache>
            </c:numRef>
          </c:val>
        </c:ser>
        <c:dLbls>
          <c:showLegendKey val="0"/>
          <c:showVal val="0"/>
          <c:showCatName val="0"/>
          <c:showSerName val="0"/>
          <c:showPercent val="0"/>
          <c:showBubbleSize val="0"/>
        </c:dLbls>
        <c:gapWidth val="219"/>
        <c:overlap val="-27"/>
        <c:axId val="764326331"/>
        <c:axId val="399541695"/>
      </c:barChart>
      <c:lineChart>
        <c:grouping val="standard"/>
        <c:varyColors val="0"/>
        <c:ser>
          <c:idx val="1"/>
          <c:order val="1"/>
          <c:tx>
            <c:strRef>
              <c:f>'[裕民县历年以来可支配收入、人均收入表4.7(1).xls]Sheet1'!$C$6</c:f>
              <c:strCache>
                <c:ptCount val="1"/>
                <c:pt idx="0">
                  <c:v>比上年增长</c:v>
                </c:pt>
              </c:strCache>
            </c:strRef>
          </c:tx>
          <c:spPr>
            <a:ln w="28575" cap="rnd" cmpd="sng" algn="ctr">
              <a:solidFill>
                <a:schemeClr val="accent2"/>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'[裕民县历年以来可支配收入、人均收入表4.7(1).xls]Sheet1'!$D$4:$H$4</c:f>
              <c:numCache>
                <c:formatCode>General</c:formatCode>
                <c:ptCount val="5"/>
                <c:pt idx="0">
                  <c:v>2019</c:v>
                </c:pt>
                <c:pt idx="1">
                  <c:v>2020</c:v>
                </c:pt>
                <c:pt idx="2">
                  <c:v>2021</c:v>
                </c:pt>
                <c:pt idx="3">
                  <c:v>2022</c:v>
                </c:pt>
                <c:pt idx="4">
                  <c:v>2023</c:v>
                </c:pt>
              </c:numCache>
            </c:numRef>
          </c:cat>
          <c:val>
            <c:numRef>
              <c:f>'[裕民县历年以来可支配收入、人均收入表4.7(1).xls]Sheet1'!$D$6:$H$6</c:f>
              <c:numCache>
                <c:formatCode>0.0_ </c:formatCode>
                <c:ptCount val="5"/>
                <c:pt idx="0">
                  <c:v>9.70271885270391</c:v>
                </c:pt>
                <c:pt idx="1">
                  <c:v>9.5</c:v>
                </c:pt>
                <c:pt idx="2">
                  <c:v>9.5</c:v>
                </c:pt>
                <c:pt idx="3">
                  <c:v>7.3</c:v>
                </c:pt>
                <c:pt idx="4">
                  <c:v>7.45</c:v>
                </c:pt>
              </c:numCache>
            </c:numRef>
          </c:val>
          <c:smooth val="0"/>
        </c:ser>
        <c:dLbls>
          <c:showLegendKey val="0"/>
          <c:showVal val="0"/>
          <c:showCatName val="0"/>
          <c:showSerName val="0"/>
          <c:showPercent val="0"/>
          <c:showBubbleSize val="0"/>
        </c:dLbls>
        <c:marker val="0"/>
        <c:smooth val="0"/>
        <c:axId val="254907532"/>
        <c:axId val="14810534"/>
      </c:lineChart>
      <c:catAx>
        <c:axId val="7643263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541695"/>
        <c:crosses val="autoZero"/>
        <c:auto val="1"/>
        <c:lblAlgn val="ctr"/>
        <c:lblOffset val="100"/>
        <c:noMultiLvlLbl val="0"/>
      </c:catAx>
      <c:valAx>
        <c:axId val="39954169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326331"/>
        <c:crosses val="autoZero"/>
        <c:crossBetween val="between"/>
      </c:valAx>
      <c:catAx>
        <c:axId val="25490753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14810534"/>
        <c:crosses val="autoZero"/>
        <c:auto val="1"/>
        <c:lblAlgn val="ctr"/>
        <c:lblOffset val="100"/>
        <c:noMultiLvlLbl val="0"/>
      </c:catAx>
      <c:valAx>
        <c:axId val="14810534"/>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907532"/>
        <c:crosses val="max"/>
        <c:crossBetween val="between"/>
      </c:valAx>
      <c:spPr>
        <a:noFill/>
        <a:ln w="12700" cmpd="sng">
          <a:noFill/>
          <a:prstDash val="solid"/>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0.0283498601576405</cdr:x>
      <cdr:y>0.041371158392435</cdr:y>
    </cdr:from>
    <cdr:to>
      <cdr:x>0.129417747266718</cdr:x>
      <cdr:y>0.112293144208038</cdr:y>
    </cdr:to>
    <cdr:sp>
      <cdr:nvSpPr>
        <cdr:cNvPr id="2" name="矩形 1"/>
        <cdr:cNvSpPr/>
      </cdr:nvSpPr>
      <cdr:spPr xmlns:a="http://schemas.openxmlformats.org/drawingml/2006/main">
        <a:xfrm xmlns:a="http://schemas.openxmlformats.org/drawingml/2006/main">
          <a:off x="141605" y="111125"/>
          <a:ext cx="504825" cy="1905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tx2">
                  <a:lumMod val="50000"/>
                </a:schemeClr>
              </a:solidFill>
            </a:rPr>
            <a:t>万元</a:t>
          </a:r>
          <a:endParaRPr lang="zh-CN" altLang="en-US" sz="800">
            <a:solidFill>
              <a:schemeClr val="tx2">
                <a:lumMod val="50000"/>
              </a:schemeClr>
            </a:solidFill>
          </a:endParaRPr>
        </a:p>
      </cdr:txBody>
    </cdr:sp>
  </cdr:relSizeAnchor>
  <cdr:relSizeAnchor xmlns:cdr="http://schemas.openxmlformats.org/drawingml/2006/chartDrawing">
    <cdr:from>
      <cdr:x>0.911263666412408</cdr:x>
      <cdr:y>0.0378250591016548</cdr:y>
    </cdr:from>
    <cdr:to>
      <cdr:x>0.953216374269006</cdr:x>
      <cdr:y>0.115839243498818</cdr:y>
    </cdr:to>
    <cdr:sp>
      <cdr:nvSpPr>
        <cdr:cNvPr id="3" name="矩形 2"/>
        <cdr:cNvSpPr/>
      </cdr:nvSpPr>
      <cdr:spPr xmlns:a="http://schemas.openxmlformats.org/drawingml/2006/main">
        <a:xfrm xmlns:a="http://schemas.openxmlformats.org/drawingml/2006/main">
          <a:off x="4551680" y="101600"/>
          <a:ext cx="20955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solidFill>
                <a:schemeClr val="tx2">
                  <a:lumMod val="50000"/>
                </a:schemeClr>
              </a:solidFill>
            </a:rPr>
            <a:t>%</a:t>
          </a:r>
          <a:endParaRPr lang="en-US" altLang="zh-CN" sz="800">
            <a:solidFill>
              <a:schemeClr val="tx2">
                <a:lumMod val="50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0.0472222222222222</cdr:x>
      <cdr:y>0.0381944444444444</cdr:y>
    </cdr:from>
    <cdr:to>
      <cdr:x>0.113888888888889</cdr:x>
      <cdr:y>0.114583333333333</cdr:y>
    </cdr:to>
    <cdr:sp>
      <cdr:nvSpPr>
        <cdr:cNvPr id="2" name="矩形 1"/>
        <cdr:cNvSpPr/>
      </cdr:nvSpPr>
      <cdr:spPr xmlns:a="http://schemas.openxmlformats.org/drawingml/2006/main">
        <a:xfrm xmlns:a="http://schemas.openxmlformats.org/drawingml/2006/main">
          <a:off x="215900" y="104775"/>
          <a:ext cx="3048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t>元</a:t>
          </a:r>
          <a:endParaRPr lang="zh-CN" altLang="en-US" sz="800"/>
        </a:p>
      </cdr:txBody>
    </cdr:sp>
  </cdr:relSizeAnchor>
  <cdr:relSizeAnchor xmlns:cdr="http://schemas.openxmlformats.org/drawingml/2006/chartDrawing">
    <cdr:from>
      <cdr:x>0.932638888888889</cdr:x>
      <cdr:y>0.0208333333333333</cdr:y>
    </cdr:from>
    <cdr:to>
      <cdr:x>0.982638888888889</cdr:x>
      <cdr:y>0.0972222222222222</cdr:y>
    </cdr:to>
    <cdr:sp>
      <cdr:nvSpPr>
        <cdr:cNvPr id="3" name="矩形 2"/>
        <cdr:cNvSpPr/>
      </cdr:nvSpPr>
      <cdr:spPr xmlns:a="http://schemas.openxmlformats.org/drawingml/2006/main">
        <a:xfrm xmlns:a="http://schemas.openxmlformats.org/drawingml/2006/main">
          <a:off x="4264025" y="57150"/>
          <a:ext cx="2286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3.xml><?xml version="1.0" encoding="utf-8"?>
<c:userShapes xmlns:c="http://schemas.openxmlformats.org/drawingml/2006/chart">
  <cdr:relSizeAnchor xmlns:cdr="http://schemas.openxmlformats.org/drawingml/2006/chartDrawing">
    <cdr:from>
      <cdr:x>0.0201388888888889</cdr:x>
      <cdr:y>0.0317325999576899</cdr:y>
    </cdr:from>
    <cdr:to>
      <cdr:x>0.0930555555555556</cdr:x>
      <cdr:y>0.101544319864608</cdr:y>
    </cdr:to>
    <cdr:sp>
      <cdr:nvSpPr>
        <cdr:cNvPr id="2" name="矩形 1"/>
        <cdr:cNvSpPr/>
      </cdr:nvSpPr>
      <cdr:spPr xmlns:a="http://schemas.openxmlformats.org/drawingml/2006/main">
        <a:xfrm xmlns:a="http://schemas.openxmlformats.org/drawingml/2006/main">
          <a:off x="92075" y="95250"/>
          <a:ext cx="33337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t>元</a:t>
          </a:r>
          <a:endParaRPr lang="zh-CN" altLang="en-US" sz="800"/>
        </a:p>
      </cdr:txBody>
    </cdr:sp>
  </cdr:relSizeAnchor>
  <cdr:relSizeAnchor xmlns:cdr="http://schemas.openxmlformats.org/drawingml/2006/chartDrawing">
    <cdr:from>
      <cdr:x>0.922222222222222</cdr:x>
      <cdr:y>0.0285593399619209</cdr:y>
    </cdr:from>
    <cdr:to>
      <cdr:x>0.963888888888889</cdr:x>
      <cdr:y>0.0983710598688386</cdr:y>
    </cdr:to>
    <cdr:sp>
      <cdr:nvSpPr>
        <cdr:cNvPr id="3" name="矩形 2"/>
        <cdr:cNvSpPr/>
      </cdr:nvSpPr>
      <cdr:spPr xmlns:a="http://schemas.openxmlformats.org/drawingml/2006/main">
        <a:xfrm xmlns:a="http://schemas.openxmlformats.org/drawingml/2006/main">
          <a:off x="4216400" y="85725"/>
          <a:ext cx="1905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4.xml><?xml version="1.0" encoding="utf-8"?>
<c:userShapes xmlns:c="http://schemas.openxmlformats.org/drawingml/2006/chart">
  <cdr:relSizeAnchor xmlns:cdr="http://schemas.openxmlformats.org/drawingml/2006/chartDrawing">
    <cdr:from>
      <cdr:x>0.0154785699602603</cdr:x>
      <cdr:y>0.0266203703703704</cdr:y>
    </cdr:from>
    <cdr:to>
      <cdr:x>0.103979946648342</cdr:x>
      <cdr:y>0.103009259259259</cdr:y>
    </cdr:to>
    <cdr:sp>
      <cdr:nvSpPr>
        <cdr:cNvPr id="2" name="矩形 1"/>
        <cdr:cNvSpPr/>
      </cdr:nvSpPr>
      <cdr:spPr xmlns:a="http://schemas.openxmlformats.org/drawingml/2006/main">
        <a:xfrm xmlns:a="http://schemas.openxmlformats.org/drawingml/2006/main">
          <a:off x="74985" y="73025"/>
          <a:ext cx="428737"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tx2">
                  <a:lumMod val="50000"/>
                </a:schemeClr>
              </a:solidFill>
            </a:rPr>
            <a:t>万元</a:t>
          </a:r>
          <a:endParaRPr lang="zh-CN" altLang="en-US" sz="800">
            <a:solidFill>
              <a:schemeClr val="tx2">
                <a:lumMod val="50000"/>
              </a:schemeClr>
            </a:solidFill>
          </a:endParaRPr>
        </a:p>
      </cdr:txBody>
    </cdr:sp>
  </cdr:relSizeAnchor>
  <cdr:relSizeAnchor xmlns:cdr="http://schemas.openxmlformats.org/drawingml/2006/chartDrawing">
    <cdr:from>
      <cdr:x>0.943505046532966</cdr:x>
      <cdr:y>0.0231481481481481</cdr:y>
    </cdr:from>
    <cdr:to>
      <cdr:x>0.986761043387076</cdr:x>
      <cdr:y>0.099537037037037</cdr:y>
    </cdr:to>
    <cdr:sp>
      <cdr:nvSpPr>
        <cdr:cNvPr id="3" name="矩形 2"/>
        <cdr:cNvSpPr/>
      </cdr:nvSpPr>
      <cdr:spPr xmlns:a="http://schemas.openxmlformats.org/drawingml/2006/main">
        <a:xfrm xmlns:a="http://schemas.openxmlformats.org/drawingml/2006/main">
          <a:off x="4570730" y="63500"/>
          <a:ext cx="20955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5.xml><?xml version="1.0" encoding="utf-8"?>
<c:userShapes xmlns:c="http://schemas.openxmlformats.org/drawingml/2006/chart">
  <cdr:relSizeAnchor xmlns:cdr="http://schemas.openxmlformats.org/drawingml/2006/chartDrawing">
    <cdr:from>
      <cdr:x>0.0313278280246428</cdr:x>
      <cdr:y>0.0533536585365854</cdr:y>
    </cdr:from>
    <cdr:to>
      <cdr:x>0.141302923056757</cdr:x>
      <cdr:y>0.130525914634146</cdr:y>
    </cdr:to>
    <cdr:sp>
      <cdr:nvSpPr>
        <cdr:cNvPr id="2" name="矩形 1"/>
        <cdr:cNvSpPr/>
      </cdr:nvSpPr>
      <cdr:spPr xmlns:a="http://schemas.openxmlformats.org/drawingml/2006/main">
        <a:xfrm xmlns:a="http://schemas.openxmlformats.org/drawingml/2006/main">
          <a:off x="151765" y="177800"/>
          <a:ext cx="532765" cy="2571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tx2">
                  <a:lumMod val="50000"/>
                </a:schemeClr>
              </a:solidFill>
            </a:rPr>
            <a:t>万元</a:t>
          </a:r>
          <a:endParaRPr lang="zh-CN" altLang="en-US" sz="800">
            <a:solidFill>
              <a:schemeClr val="tx2">
                <a:lumMod val="50000"/>
              </a:schemeClr>
            </a:solidFill>
          </a:endParaRPr>
        </a:p>
      </cdr:txBody>
    </cdr:sp>
  </cdr:relSizeAnchor>
  <cdr:relSizeAnchor xmlns:cdr="http://schemas.openxmlformats.org/drawingml/2006/chartDrawing">
    <cdr:from>
      <cdr:x>0.892386385316303</cdr:x>
      <cdr:y>0.0562118902439024</cdr:y>
    </cdr:from>
    <cdr:to>
      <cdr:x>0.937608563845599</cdr:x>
      <cdr:y>0.130525914634146</cdr:y>
    </cdr:to>
    <cdr:sp>
      <cdr:nvSpPr>
        <cdr:cNvPr id="3" name="矩形 2"/>
        <cdr:cNvSpPr/>
      </cdr:nvSpPr>
      <cdr:spPr xmlns:a="http://schemas.openxmlformats.org/drawingml/2006/main">
        <a:xfrm xmlns:a="http://schemas.openxmlformats.org/drawingml/2006/main">
          <a:off x="4321957" y="187325"/>
          <a:ext cx="219018"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6.xml><?xml version="1.0" encoding="utf-8"?>
<c:userShapes xmlns:c="http://schemas.openxmlformats.org/drawingml/2006/chart">
  <cdr:relSizeAnchor xmlns:cdr="http://schemas.openxmlformats.org/drawingml/2006/chartDrawing">
    <cdr:from>
      <cdr:x>0.0172330351782786</cdr:x>
      <cdr:y>0.0217391304347826</cdr:y>
    </cdr:from>
    <cdr:to>
      <cdr:x>0.109151176003808</cdr:x>
      <cdr:y>0.0953716690042076</cdr:y>
    </cdr:to>
    <cdr:sp>
      <cdr:nvSpPr>
        <cdr:cNvPr id="2" name="矩形 1"/>
        <cdr:cNvSpPr/>
      </cdr:nvSpPr>
      <cdr:spPr xmlns:a="http://schemas.openxmlformats.org/drawingml/2006/main">
        <a:xfrm xmlns:a="http://schemas.openxmlformats.org/drawingml/2006/main">
          <a:off x="94722" y="59055"/>
          <a:ext cx="505234" cy="2000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bg2">
                  <a:lumMod val="25000"/>
                </a:schemeClr>
              </a:solidFill>
            </a:rPr>
            <a:t>万元</a:t>
          </a:r>
          <a:endParaRPr lang="zh-CN" altLang="en-US" sz="800">
            <a:solidFill>
              <a:schemeClr val="bg2">
                <a:lumMod val="25000"/>
              </a:schemeClr>
            </a:solidFill>
          </a:endParaRPr>
        </a:p>
      </cdr:txBody>
    </cdr:sp>
  </cdr:relSizeAnchor>
  <cdr:relSizeAnchor xmlns:cdr="http://schemas.openxmlformats.org/drawingml/2006/chartDrawing">
    <cdr:from>
      <cdr:x>0.947796339631239</cdr:x>
      <cdr:y>0.0743338008415147</cdr:y>
    </cdr:from>
    <cdr:to>
      <cdr:x>0.989385988429761</cdr:x>
      <cdr:y>0.151472650771388</cdr:y>
    </cdr:to>
    <cdr:sp>
      <cdr:nvSpPr>
        <cdr:cNvPr id="3" name="矩形 2"/>
        <cdr:cNvSpPr/>
      </cdr:nvSpPr>
      <cdr:spPr xmlns:a="http://schemas.openxmlformats.org/drawingml/2006/main">
        <a:xfrm xmlns:a="http://schemas.openxmlformats.org/drawingml/2006/main">
          <a:off x="5195175" y="201930"/>
          <a:ext cx="227966"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0.942539388322521</cdr:x>
      <cdr:y>0.0217391304347826</cdr:y>
    </cdr:from>
    <cdr:to>
      <cdr:x>1</cdr:x>
      <cdr:y>0.126928471248247</cdr:y>
    </cdr:to>
    <cdr:sp>
      <cdr:nvSpPr>
        <cdr:cNvPr id="4" name="矩形 3"/>
        <cdr:cNvSpPr/>
      </cdr:nvSpPr>
      <cdr:spPr xmlns:a="http://schemas.openxmlformats.org/drawingml/2006/main">
        <a:xfrm xmlns:a="http://schemas.openxmlformats.org/drawingml/2006/main">
          <a:off x="5166360" y="59055"/>
          <a:ext cx="314960" cy="2857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solidFill>
                <a:schemeClr val="bg2">
                  <a:lumMod val="25000"/>
                </a:schemeClr>
              </a:solidFill>
            </a:rPr>
            <a:t>%</a:t>
          </a:r>
          <a:endParaRPr lang="en-US" altLang="zh-CN" sz="900">
            <a:solidFill>
              <a:schemeClr val="bg2">
                <a:lumMod val="25000"/>
              </a:schemeClr>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0.0557981562348375</cdr:x>
      <cdr:y>0.0401391490500401</cdr:y>
    </cdr:from>
    <cdr:to>
      <cdr:x>0.0958272683163513</cdr:x>
      <cdr:y>0.128445276960128</cdr:y>
    </cdr:to>
    <cdr:sp>
      <cdr:nvSpPr>
        <cdr:cNvPr id="2" name="矩形 1"/>
        <cdr:cNvSpPr/>
      </cdr:nvSpPr>
      <cdr:spPr xmlns:a="http://schemas.openxmlformats.org/drawingml/2006/main">
        <a:xfrm xmlns:a="http://schemas.openxmlformats.org/drawingml/2006/main">
          <a:off x="292100" y="95250"/>
          <a:ext cx="20955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4948</Words>
  <Characters>6247</Characters>
  <Lines>62</Lines>
  <Paragraphs>17</Paragraphs>
  <TotalTime>10</TotalTime>
  <ScaleCrop>false</ScaleCrop>
  <LinksUpToDate>false</LinksUpToDate>
  <CharactersWithSpaces>6583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2020-05-27T10:39:00Z</dcterms:created>
  <dc:creator>admin</dc:creator>
  <cp:lastModifiedBy>sinner</cp:lastModifiedBy>
  <cp:lastPrinted>2024-05-15T08:33:00Z</cp:lastPrinted>
  <dcterms:modified xsi:type="dcterms:W3CDTF">2024-05-15T10:15:49Z</dcterms:modified>
  <dc:title>裕统字[2017]01号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D08B8B053CD9409E84617C4A68E05141_12</vt:lpwstr>
  </property>
</Properties>
</file>