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spacing w:line="360" w:lineRule="auto"/>
        <w:ind w:left="0" w:leftChars="0" w:firstLine="2088" w:firstLineChars="400"/>
        <w:jc w:val="both"/>
        <w:rPr>
          <w:rFonts w:hint="eastAsia" w:ascii="宋体" w:hAnsi="宋体" w:eastAsia="宋体" w:cs="宋体"/>
          <w:b/>
          <w:color w:val="000000"/>
          <w:sz w:val="52"/>
          <w:szCs w:val="52"/>
          <w:highlight w:val="none"/>
          <w:lang w:val="en-US" w:eastAsia="zh-CN"/>
        </w:rPr>
      </w:pPr>
      <w:bookmarkStart w:id="249" w:name="_GoBack"/>
      <w:bookmarkEnd w:id="249"/>
      <w:r>
        <w:rPr>
          <w:rFonts w:hint="eastAsia" w:ascii="宋体" w:hAnsi="宋体" w:eastAsia="宋体" w:cs="宋体"/>
          <w:b/>
          <w:color w:val="000000"/>
          <w:sz w:val="52"/>
          <w:szCs w:val="52"/>
          <w:highlight w:val="none"/>
          <w:lang w:val="en-US" w:eastAsia="zh-CN"/>
        </w:rPr>
        <w:t>裕民县江格斯乡吉兰德村</w:t>
      </w:r>
    </w:p>
    <w:p>
      <w:pPr>
        <w:pStyle w:val="12"/>
        <w:widowControl/>
        <w:spacing w:line="360" w:lineRule="auto"/>
        <w:ind w:left="0" w:leftChars="0" w:firstLine="0" w:firstLineChars="0"/>
        <w:jc w:val="center"/>
        <w:rPr>
          <w:rFonts w:hint="eastAsia" w:ascii="宋体" w:hAnsi="宋体" w:eastAsia="宋体" w:cs="宋体"/>
          <w:b/>
          <w:color w:val="000000"/>
          <w:sz w:val="52"/>
          <w:szCs w:val="52"/>
          <w:highlight w:val="none"/>
          <w:lang w:val="en-US" w:eastAsia="zh-CN"/>
        </w:rPr>
      </w:pPr>
      <w:r>
        <w:rPr>
          <w:rFonts w:hint="eastAsia" w:ascii="宋体" w:hAnsi="宋体" w:eastAsia="宋体" w:cs="宋体"/>
          <w:b/>
          <w:color w:val="000000"/>
          <w:sz w:val="52"/>
          <w:szCs w:val="52"/>
          <w:highlight w:val="none"/>
          <w:lang w:val="en-US" w:eastAsia="zh-CN"/>
        </w:rPr>
        <w:t>扶贫加工厂建设项目</w:t>
      </w:r>
    </w:p>
    <w:p>
      <w:pPr>
        <w:pStyle w:val="12"/>
        <w:widowControl/>
        <w:spacing w:line="360" w:lineRule="auto"/>
        <w:ind w:left="0" w:leftChars="0" w:firstLine="0" w:firstLineChars="0"/>
        <w:jc w:val="center"/>
        <w:rPr>
          <w:rFonts w:hint="eastAsia" w:ascii="宋体" w:hAnsi="宋体" w:eastAsia="宋体" w:cs="宋体"/>
          <w:b/>
          <w:bCs w:val="0"/>
          <w:color w:val="000000"/>
          <w:sz w:val="84"/>
          <w:szCs w:val="84"/>
          <w:highlight w:val="none"/>
          <w:lang w:val="en-US" w:eastAsia="zh-CN"/>
        </w:rPr>
      </w:pPr>
      <w:r>
        <w:rPr>
          <w:rFonts w:hint="eastAsia" w:ascii="宋体" w:hAnsi="宋体" w:eastAsia="宋体" w:cs="宋体"/>
          <w:b/>
          <w:bCs w:val="0"/>
          <w:color w:val="000000"/>
          <w:sz w:val="84"/>
          <w:szCs w:val="84"/>
          <w:highlight w:val="none"/>
          <w:lang w:val="en-US" w:eastAsia="zh-CN"/>
        </w:rPr>
        <w:t>实</w:t>
      </w:r>
    </w:p>
    <w:p>
      <w:pPr>
        <w:pStyle w:val="12"/>
        <w:widowControl/>
        <w:spacing w:line="360" w:lineRule="auto"/>
        <w:ind w:left="0" w:leftChars="0" w:firstLine="0" w:firstLineChars="0"/>
        <w:jc w:val="center"/>
        <w:rPr>
          <w:rFonts w:hint="eastAsia" w:ascii="宋体" w:hAnsi="宋体" w:eastAsia="宋体" w:cs="宋体"/>
          <w:b/>
          <w:bCs w:val="0"/>
          <w:color w:val="000000"/>
          <w:sz w:val="84"/>
          <w:szCs w:val="84"/>
          <w:highlight w:val="none"/>
          <w:lang w:val="en-US" w:eastAsia="zh-CN"/>
        </w:rPr>
      </w:pPr>
      <w:r>
        <w:rPr>
          <w:rFonts w:hint="eastAsia" w:ascii="宋体" w:hAnsi="宋体" w:eastAsia="宋体" w:cs="宋体"/>
          <w:b/>
          <w:bCs w:val="0"/>
          <w:color w:val="000000"/>
          <w:sz w:val="84"/>
          <w:szCs w:val="84"/>
          <w:highlight w:val="none"/>
          <w:lang w:val="en-US" w:eastAsia="zh-CN"/>
        </w:rPr>
        <w:t>施</w:t>
      </w:r>
    </w:p>
    <w:p>
      <w:pPr>
        <w:pStyle w:val="12"/>
        <w:widowControl/>
        <w:spacing w:line="360" w:lineRule="auto"/>
        <w:ind w:left="0" w:leftChars="0" w:firstLine="0" w:firstLineChars="0"/>
        <w:jc w:val="center"/>
        <w:rPr>
          <w:rFonts w:hint="eastAsia" w:ascii="宋体" w:hAnsi="宋体" w:eastAsia="宋体" w:cs="宋体"/>
          <w:b/>
          <w:bCs w:val="0"/>
          <w:color w:val="000000"/>
          <w:sz w:val="84"/>
          <w:szCs w:val="84"/>
          <w:highlight w:val="none"/>
          <w:lang w:val="en-US" w:eastAsia="zh-CN"/>
        </w:rPr>
      </w:pPr>
      <w:r>
        <w:rPr>
          <w:rFonts w:hint="eastAsia" w:ascii="宋体" w:hAnsi="宋体" w:eastAsia="宋体" w:cs="宋体"/>
          <w:b/>
          <w:bCs w:val="0"/>
          <w:color w:val="000000"/>
          <w:sz w:val="84"/>
          <w:szCs w:val="84"/>
          <w:highlight w:val="none"/>
          <w:lang w:val="en-US" w:eastAsia="zh-CN"/>
        </w:rPr>
        <w:t>方</w:t>
      </w:r>
    </w:p>
    <w:p>
      <w:pPr>
        <w:pStyle w:val="12"/>
        <w:widowControl/>
        <w:spacing w:line="360" w:lineRule="auto"/>
        <w:ind w:left="0" w:leftChars="0" w:firstLine="0" w:firstLineChars="0"/>
        <w:jc w:val="center"/>
        <w:rPr>
          <w:rFonts w:hint="eastAsia" w:ascii="宋体" w:hAnsi="宋体" w:eastAsia="宋体" w:cs="宋体"/>
          <w:b/>
          <w:color w:val="000000"/>
          <w:sz w:val="72"/>
          <w:szCs w:val="72"/>
          <w:highlight w:val="none"/>
          <w:lang w:val="en-US" w:eastAsia="zh-CN"/>
        </w:rPr>
      </w:pPr>
      <w:r>
        <w:rPr>
          <w:rFonts w:hint="eastAsia" w:ascii="宋体" w:hAnsi="宋体" w:eastAsia="宋体" w:cs="宋体"/>
          <w:b/>
          <w:bCs w:val="0"/>
          <w:color w:val="000000"/>
          <w:sz w:val="84"/>
          <w:szCs w:val="84"/>
          <w:highlight w:val="none"/>
          <w:lang w:val="en-US" w:eastAsia="zh-CN"/>
        </w:rPr>
        <w:t>案</w:t>
      </w:r>
    </w:p>
    <w:p>
      <w:pPr>
        <w:spacing w:line="225" w:lineRule="auto"/>
        <w:ind w:right="3085"/>
        <w:jc w:val="left"/>
        <w:rPr>
          <w:rFonts w:hint="eastAsia" w:ascii="宋体" w:hAnsi="宋体" w:eastAsia="宋体" w:cs="宋体"/>
          <w:b/>
          <w:color w:val="000000"/>
          <w:sz w:val="32"/>
          <w:szCs w:val="32"/>
        </w:rPr>
      </w:pPr>
    </w:p>
    <w:p>
      <w:pPr>
        <w:rPr>
          <w:rFonts w:hint="eastAsia"/>
          <w:sz w:val="44"/>
          <w:szCs w:val="44"/>
          <w:highlight w:val="none"/>
        </w:rPr>
      </w:pPr>
    </w:p>
    <w:p>
      <w:pPr>
        <w:rPr>
          <w:rFonts w:hint="eastAsia"/>
          <w:sz w:val="44"/>
          <w:szCs w:val="44"/>
          <w:highlight w:val="none"/>
        </w:rPr>
      </w:pPr>
    </w:p>
    <w:p>
      <w:pPr>
        <w:rPr>
          <w:rFonts w:hint="eastAsia" w:eastAsia="宋体"/>
          <w:sz w:val="32"/>
          <w:szCs w:val="32"/>
          <w:highlight w:val="none"/>
          <w:lang w:val="en-US" w:eastAsia="zh-CN"/>
        </w:rPr>
      </w:pPr>
      <w:r>
        <w:rPr>
          <w:rFonts w:hint="eastAsia"/>
          <w:sz w:val="44"/>
          <w:szCs w:val="44"/>
          <w:highlight w:val="none"/>
        </w:rPr>
        <w:t>项目名称：</w:t>
      </w:r>
      <w:r>
        <w:rPr>
          <w:rFonts w:hint="eastAsia"/>
          <w:sz w:val="36"/>
          <w:szCs w:val="36"/>
          <w:highlight w:val="none"/>
          <w:lang w:val="en-US" w:eastAsia="zh-CN"/>
        </w:rPr>
        <w:t>裕民县江格斯乡吉兰德村扶贫加工厂建设项目</w:t>
      </w:r>
    </w:p>
    <w:p>
      <w:pPr>
        <w:rPr>
          <w:rFonts w:hint="eastAsia"/>
          <w:sz w:val="36"/>
          <w:szCs w:val="36"/>
          <w:highlight w:val="none"/>
          <w:lang w:val="en-US" w:eastAsia="zh-CN"/>
        </w:rPr>
      </w:pPr>
      <w:r>
        <w:rPr>
          <w:rFonts w:hint="eastAsia"/>
          <w:sz w:val="44"/>
          <w:szCs w:val="44"/>
          <w:highlight w:val="none"/>
        </w:rPr>
        <w:t>项目主管单位：</w:t>
      </w:r>
      <w:r>
        <w:rPr>
          <w:rFonts w:hint="eastAsia"/>
          <w:sz w:val="36"/>
          <w:szCs w:val="36"/>
          <w:highlight w:val="none"/>
          <w:lang w:val="en-US" w:eastAsia="zh-CN"/>
        </w:rPr>
        <w:t>裕民县扶贫开发办公室</w:t>
      </w:r>
    </w:p>
    <w:p>
      <w:pPr>
        <w:rPr>
          <w:rFonts w:hint="default"/>
          <w:lang w:val="en-US" w:eastAsia="zh-CN"/>
        </w:rPr>
      </w:pPr>
      <w:r>
        <w:rPr>
          <w:rFonts w:hint="eastAsia"/>
          <w:sz w:val="44"/>
          <w:szCs w:val="44"/>
        </w:rPr>
        <w:t>项目实施单位：</w:t>
      </w:r>
      <w:r>
        <w:rPr>
          <w:rFonts w:hint="eastAsia"/>
          <w:sz w:val="36"/>
          <w:szCs w:val="36"/>
          <w:lang w:val="en-US" w:eastAsia="zh-CN"/>
        </w:rPr>
        <w:t>江格斯乡人民政府</w:t>
      </w:r>
    </w:p>
    <w:p>
      <w:pPr>
        <w:rPr>
          <w:rFonts w:hint="eastAsia" w:ascii="宋体" w:hAnsi="宋体" w:eastAsia="宋体" w:cs="宋体"/>
          <w:b/>
          <w:color w:val="000000"/>
          <w:sz w:val="40"/>
          <w:szCs w:val="22"/>
          <w:highlight w:val="none"/>
          <w:lang w:val="en-US" w:eastAsia="zh-CN"/>
        </w:rPr>
      </w:pPr>
      <w:r>
        <w:rPr>
          <w:rFonts w:hint="eastAsia"/>
          <w:sz w:val="44"/>
          <w:szCs w:val="44"/>
          <w:highlight w:val="none"/>
        </w:rPr>
        <w:t>编制时间：</w:t>
      </w:r>
      <w:r>
        <w:rPr>
          <w:rFonts w:hint="eastAsia"/>
          <w:sz w:val="36"/>
          <w:szCs w:val="36"/>
          <w:highlight w:val="none"/>
          <w:lang w:val="en-US" w:eastAsia="zh-CN"/>
        </w:rPr>
        <w:t>2020年</w:t>
      </w:r>
    </w:p>
    <w:p>
      <w:pPr>
        <w:spacing w:before="0" w:beforeLines="0" w:after="0" w:afterLines="0" w:line="240" w:lineRule="auto"/>
        <w:ind w:right="0" w:rightChars="0"/>
        <w:jc w:val="both"/>
        <w:rPr>
          <w:rFonts w:hint="eastAsia" w:ascii="宋体" w:hAnsi="宋体" w:eastAsia="宋体" w:cs="宋体"/>
          <w:b/>
          <w:bCs/>
          <w:sz w:val="48"/>
          <w:szCs w:val="48"/>
        </w:rPr>
      </w:pPr>
    </w:p>
    <w:p>
      <w:pPr>
        <w:spacing w:before="0" w:beforeLines="0" w:after="0" w:afterLines="0" w:line="240" w:lineRule="auto"/>
        <w:ind w:right="0" w:rightChars="0"/>
        <w:jc w:val="center"/>
        <w:rPr>
          <w:rFonts w:hint="eastAsia" w:ascii="宋体" w:hAnsi="宋体" w:eastAsia="宋体" w:cs="宋体"/>
          <w:b/>
          <w:bCs/>
          <w:sz w:val="48"/>
          <w:szCs w:val="48"/>
        </w:rPr>
      </w:pPr>
      <w:r>
        <w:rPr>
          <w:rFonts w:hint="eastAsia" w:ascii="宋体" w:hAnsi="宋体" w:eastAsia="宋体" w:cs="宋体"/>
          <w:b/>
          <w:bCs/>
          <w:sz w:val="48"/>
          <w:szCs w:val="48"/>
        </w:rPr>
        <w:t>目录</w:t>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宋体" w:hAnsi="宋体" w:eastAsia="宋体" w:cs="宋体"/>
        </w:rPr>
        <w:fldChar w:fldCharType="begin"/>
      </w:r>
      <w:r>
        <w:rPr>
          <w:rFonts w:hint="eastAsia" w:ascii="宋体" w:hAnsi="宋体" w:eastAsia="宋体" w:cs="宋体"/>
        </w:rPr>
        <w:instrText xml:space="preserve">TOC \o "1-2" \h \u </w:instrText>
      </w:r>
      <w:r>
        <w:rPr>
          <w:rFonts w:hint="eastAsia" w:ascii="宋体" w:hAnsi="宋体" w:eastAsia="宋体" w:cs="宋体"/>
        </w:rPr>
        <w:fldChar w:fldCharType="separate"/>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_Toc20810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基本情况</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_Toc20810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- 3 -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_Toc28441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项目</w:t>
      </w:r>
      <w:r>
        <w:rPr>
          <w:rFonts w:hint="eastAsia" w:asciiTheme="minorEastAsia" w:hAnsiTheme="minorEastAsia" w:eastAsiaTheme="minorEastAsia" w:cstheme="minorEastAsia"/>
          <w:sz w:val="28"/>
          <w:szCs w:val="28"/>
          <w:lang w:val="en-US" w:eastAsia="zh-CN"/>
        </w:rPr>
        <w:t>立项情况</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_Toc28441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- 4 -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_Toc26228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z w:val="28"/>
          <w:szCs w:val="28"/>
          <w:lang w:val="en-US" w:eastAsia="zh-CN"/>
        </w:rPr>
        <w:t>三</w:t>
      </w:r>
      <w:r>
        <w:rPr>
          <w:rFonts w:hint="eastAsia" w:asciiTheme="minorEastAsia" w:hAnsiTheme="minorEastAsia" w:eastAsiaTheme="minorEastAsia" w:cstheme="minorEastAsia"/>
          <w:bCs/>
          <w:sz w:val="28"/>
          <w:szCs w:val="28"/>
          <w:lang w:eastAsia="zh-CN"/>
        </w:rPr>
        <w:t>、</w:t>
      </w:r>
      <w:r>
        <w:rPr>
          <w:rFonts w:hint="eastAsia" w:asciiTheme="minorEastAsia" w:hAnsiTheme="minorEastAsia" w:eastAsiaTheme="minorEastAsia" w:cstheme="minorEastAsia"/>
          <w:bCs/>
          <w:sz w:val="28"/>
          <w:szCs w:val="28"/>
        </w:rPr>
        <w:t>项目</w:t>
      </w:r>
      <w:r>
        <w:rPr>
          <w:rFonts w:hint="eastAsia" w:asciiTheme="minorEastAsia" w:hAnsiTheme="minorEastAsia" w:eastAsiaTheme="minorEastAsia" w:cstheme="minorEastAsia"/>
          <w:bCs/>
          <w:sz w:val="28"/>
          <w:szCs w:val="28"/>
          <w:lang w:val="en-US" w:eastAsia="zh-CN"/>
        </w:rPr>
        <w:t>施工设计</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_Toc26228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- 5 -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_Toc440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四、项目投资概算与资金筹措</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_Toc440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- 8 -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_Toc4320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1、投资估算</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_Toc4320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- 8 -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_Toc20929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2、 资金筹措</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_Toc20929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- 8 -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_Toc20612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资金使用和管理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_Toc20612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- 8 -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_Toc10935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五、项目实施保障措施</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_Toc10935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- 9 -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_Toc2203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1、组织领导机构</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_Toc2203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- 9 -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_Toc6565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技术保障措施</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_Toc6565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- 9 -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_Toc21975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项目管理、监督检查制度</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_Toc21975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- 10 -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_Toc17664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验收管理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_Toc17664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_Toc30522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运营模式和运营管理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_Toc30522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_Toc24731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 带贫减贫益贫机制</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_Toc24731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_Toc26302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eastAsia="zh-CN"/>
        </w:rPr>
        <w:t>六、</w:t>
      </w:r>
      <w:r>
        <w:rPr>
          <w:rFonts w:hint="eastAsia" w:asciiTheme="minorEastAsia" w:hAnsiTheme="minorEastAsia" w:eastAsiaTheme="minorEastAsia" w:cstheme="minorEastAsia"/>
          <w:sz w:val="28"/>
          <w:szCs w:val="28"/>
        </w:rPr>
        <w:t>项目实施进度</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_Toc26302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_Toc1586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1、进度计划</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_Toc1586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_Toc26672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招标方案</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_Toc26672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- 13 -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_Toc16216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项目公告公示</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_Toc16216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- 15 -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_Toc18409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eastAsia="zh-CN"/>
        </w:rPr>
        <w:t>七、</w:t>
      </w:r>
      <w:r>
        <w:rPr>
          <w:rFonts w:hint="eastAsia" w:asciiTheme="minorEastAsia" w:hAnsiTheme="minorEastAsia" w:eastAsiaTheme="minorEastAsia" w:cstheme="minorEastAsia"/>
          <w:sz w:val="28"/>
          <w:szCs w:val="28"/>
        </w:rPr>
        <w:t>项目绩效目标及效益分析</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_Toc18409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- 15 -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_Toc13261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项目覆盖情况</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_Toc13261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- 15 -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_Toc4170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经济效益</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_Toc4170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- 15 -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_Toc18309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社会效益</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_Toc18309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- 16 -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_Toc29738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生态效益</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_Toc29738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- 16 -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_Toc3561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5、可持续性影响</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_Toc3561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- 16 -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5"/>
        <w:tabs>
          <w:tab w:val="right" w:leader="dot" w:pos="9747"/>
          <w:tab w:val="clear" w:pos="8494"/>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_Toc23955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eastAsia="zh-CN"/>
        </w:rPr>
        <w:t>八、</w:t>
      </w:r>
      <w:r>
        <w:rPr>
          <w:rFonts w:hint="eastAsia" w:asciiTheme="minorEastAsia" w:hAnsiTheme="minorEastAsia" w:eastAsiaTheme="minorEastAsia" w:cstheme="minorEastAsia"/>
          <w:sz w:val="28"/>
          <w:szCs w:val="28"/>
        </w:rPr>
        <w:t>风险分析</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_Toc23955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- 17 -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_Toc25622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主要风险因素</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_Toc25622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- 17 -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pStyle w:val="27"/>
        <w:tabs>
          <w:tab w:val="right" w:leader="dot" w:pos="9747"/>
        </w:tabs>
        <w:spacing w:line="360" w:lineRule="auto"/>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_Toc19325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防范化解措施</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_Toc19325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- 17 -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pPr>
        <w:spacing w:line="360" w:lineRule="auto"/>
        <w:ind w:firstLine="420" w:firstLineChars="200"/>
        <w:rPr>
          <w:rFonts w:hint="eastAsia" w:ascii="宋体" w:hAnsi="宋体" w:eastAsia="宋体" w:cs="宋体"/>
        </w:rPr>
      </w:pPr>
      <w:r>
        <w:rPr>
          <w:rFonts w:hint="eastAsia" w:ascii="宋体" w:hAnsi="宋体" w:eastAsia="宋体" w:cs="宋体"/>
        </w:rPr>
        <w:fldChar w:fldCharType="end"/>
      </w:r>
    </w:p>
    <w:p>
      <w:pPr>
        <w:pStyle w:val="3"/>
        <w:keepNext/>
        <w:keepLines/>
        <w:pageBreakBefore w:val="0"/>
        <w:widowControl/>
        <w:tabs>
          <w:tab w:val="center" w:pos="4216"/>
          <w:tab w:val="left" w:pos="6594"/>
        </w:tabs>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000000" w:themeColor="text1"/>
          <w:sz w:val="36"/>
          <w:szCs w:val="36"/>
          <w14:textFill>
            <w14:solidFill>
              <w14:schemeClr w14:val="tx1"/>
            </w14:solidFill>
          </w14:textFill>
        </w:rPr>
        <w:sectPr>
          <w:headerReference r:id="rId3" w:type="default"/>
          <w:pgSz w:w="11907" w:h="16840"/>
          <w:pgMar w:top="1440" w:right="1080" w:bottom="1440" w:left="1080" w:header="851" w:footer="992" w:gutter="0"/>
          <w:pgNumType w:fmt="numberInDash" w:start="1"/>
          <w:cols w:space="720" w:num="1"/>
          <w:docGrid w:linePitch="381" w:charSpace="0"/>
        </w:sectPr>
      </w:pPr>
    </w:p>
    <w:p>
      <w:pPr>
        <w:pStyle w:val="3"/>
        <w:bidi w:val="0"/>
        <w:jc w:val="center"/>
        <w:rPr>
          <w:rFonts w:hint="eastAsia" w:ascii="宋体" w:hAnsi="宋体" w:eastAsia="宋体" w:cs="宋体"/>
          <w:lang w:eastAsia="zh-CN"/>
        </w:rPr>
      </w:pPr>
      <w:bookmarkStart w:id="0" w:name="_Toc20810"/>
      <w:r>
        <w:rPr>
          <w:rFonts w:hint="eastAsia" w:ascii="宋体" w:hAnsi="宋体" w:eastAsia="宋体" w:cs="宋体"/>
        </w:rPr>
        <w:t>一</w:t>
      </w:r>
      <w:r>
        <w:rPr>
          <w:rFonts w:hint="eastAsia" w:ascii="宋体" w:hAnsi="宋体" w:cs="宋体"/>
          <w:lang w:eastAsia="zh-CN"/>
        </w:rPr>
        <w:t>、</w:t>
      </w:r>
      <w:r>
        <w:rPr>
          <w:rFonts w:hint="eastAsia" w:ascii="宋体" w:hAnsi="宋体" w:cs="宋体"/>
          <w:lang w:val="en-US" w:eastAsia="zh-CN"/>
        </w:rPr>
        <w:t>基本情况</w:t>
      </w:r>
      <w:bookmarkEnd w:id="0"/>
    </w:p>
    <w:p>
      <w:pPr>
        <w:spacing w:line="360" w:lineRule="auto"/>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1、</w:t>
      </w:r>
      <w:r>
        <w:rPr>
          <w:rFonts w:hint="eastAsia" w:ascii="宋体" w:hAnsi="宋体" w:eastAsia="宋体" w:cs="宋体"/>
          <w:b w:val="0"/>
          <w:bCs w:val="0"/>
          <w:sz w:val="32"/>
          <w:szCs w:val="32"/>
          <w:lang w:val="en-US" w:eastAsia="zh-CN"/>
        </w:rPr>
        <w:t>项目库编号</w:t>
      </w:r>
    </w:p>
    <w:p>
      <w:pPr>
        <w:spacing w:line="360" w:lineRule="auto"/>
        <w:ind w:firstLine="640" w:firstLineChars="200"/>
        <w:rPr>
          <w:rFonts w:hint="eastAsia" w:ascii="宋体" w:hAnsi="宋体" w:eastAsia="宋体" w:cs="宋体"/>
          <w:b w:val="0"/>
          <w:bCs w:val="0"/>
          <w:color w:val="000000"/>
          <w:sz w:val="32"/>
          <w:szCs w:val="32"/>
          <w:shd w:val="clear" w:color="auto" w:fill="FFFFFF"/>
          <w:lang w:eastAsia="zh-CN"/>
        </w:rPr>
      </w:pPr>
      <w:r>
        <w:rPr>
          <w:rFonts w:hint="eastAsia" w:ascii="宋体" w:hAnsi="宋体" w:eastAsia="宋体" w:cs="宋体"/>
          <w:b w:val="0"/>
          <w:bCs w:val="0"/>
          <w:color w:val="000000"/>
          <w:sz w:val="32"/>
          <w:szCs w:val="32"/>
          <w:shd w:val="clear" w:color="auto" w:fill="FFFFFF"/>
        </w:rPr>
        <w:t>ym202103</w:t>
      </w:r>
      <w:r>
        <w:rPr>
          <w:rFonts w:hint="eastAsia" w:ascii="宋体" w:hAnsi="宋体" w:eastAsia="宋体" w:cs="宋体"/>
          <w:b w:val="0"/>
          <w:bCs w:val="0"/>
          <w:color w:val="000000"/>
          <w:sz w:val="32"/>
          <w:szCs w:val="32"/>
          <w:shd w:val="clear" w:color="auto" w:fill="FFFFFF"/>
          <w:lang w:val="en-US" w:eastAsia="zh-CN"/>
        </w:rPr>
        <w:t>0</w:t>
      </w:r>
    </w:p>
    <w:p>
      <w:pPr>
        <w:spacing w:line="360" w:lineRule="auto"/>
        <w:ind w:firstLine="640" w:firstLineChars="200"/>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2、项目名称</w:t>
      </w:r>
    </w:p>
    <w:p>
      <w:pPr>
        <w:numPr>
          <w:ilvl w:val="0"/>
          <w:numId w:val="0"/>
        </w:numPr>
        <w:spacing w:line="360" w:lineRule="auto"/>
        <w:rPr>
          <w:rFonts w:hint="eastAsia" w:ascii="宋体" w:hAnsi="宋体" w:eastAsia="宋体" w:cs="宋体"/>
          <w:b w:val="0"/>
          <w:bCs w:val="0"/>
          <w:color w:val="000000"/>
          <w:sz w:val="32"/>
          <w:szCs w:val="32"/>
          <w:shd w:val="clear" w:color="auto" w:fill="FFFFFF"/>
          <w:lang w:val="en-US" w:eastAsia="zh-CN"/>
        </w:rPr>
      </w:pPr>
      <w:r>
        <w:rPr>
          <w:rFonts w:hint="eastAsia" w:ascii="宋体" w:hAnsi="宋体" w:eastAsia="宋体" w:cs="宋体"/>
          <w:b w:val="0"/>
          <w:bCs w:val="0"/>
          <w:color w:val="000000"/>
          <w:sz w:val="32"/>
          <w:szCs w:val="32"/>
          <w:shd w:val="clear" w:color="auto" w:fill="FFFFFF"/>
          <w:lang w:val="en-US" w:eastAsia="zh-CN"/>
        </w:rPr>
        <w:t xml:space="preserve">    </w:t>
      </w:r>
      <w:r>
        <w:rPr>
          <w:rFonts w:hint="eastAsia" w:ascii="宋体" w:hAnsi="宋体" w:eastAsia="宋体" w:cs="宋体"/>
          <w:b w:val="0"/>
          <w:bCs w:val="0"/>
          <w:color w:val="000000"/>
          <w:sz w:val="32"/>
          <w:szCs w:val="32"/>
          <w:shd w:val="clear" w:color="auto" w:fill="FFFFFF"/>
        </w:rPr>
        <w:t>裕民县江格斯乡吉兰德村扶贫加工厂建设项目</w:t>
      </w:r>
    </w:p>
    <w:p>
      <w:pPr>
        <w:spacing w:line="360" w:lineRule="auto"/>
        <w:ind w:firstLine="640" w:firstLineChars="200"/>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val="en-US" w:eastAsia="zh-CN"/>
        </w:rPr>
        <w:t>3</w:t>
      </w:r>
      <w:r>
        <w:rPr>
          <w:rFonts w:hint="eastAsia" w:ascii="宋体" w:hAnsi="宋体" w:eastAsia="宋体" w:cs="宋体"/>
          <w:b w:val="0"/>
          <w:bCs w:val="0"/>
          <w:sz w:val="32"/>
          <w:szCs w:val="32"/>
        </w:rPr>
        <w:t>、</w:t>
      </w:r>
      <w:r>
        <w:rPr>
          <w:rFonts w:hint="eastAsia" w:ascii="宋体" w:hAnsi="宋体" w:eastAsia="宋体" w:cs="宋体"/>
          <w:b w:val="0"/>
          <w:bCs w:val="0"/>
          <w:sz w:val="32"/>
          <w:szCs w:val="32"/>
          <w:lang w:eastAsia="zh-CN"/>
        </w:rPr>
        <w:t>项目主管单位</w:t>
      </w:r>
    </w:p>
    <w:p>
      <w:pPr>
        <w:spacing w:line="360" w:lineRule="auto"/>
        <w:ind w:firstLine="640" w:firstLineChars="200"/>
        <w:rPr>
          <w:rFonts w:hint="eastAsia" w:ascii="宋体" w:hAnsi="宋体" w:eastAsia="宋体" w:cs="宋体"/>
          <w:b w:val="0"/>
          <w:bCs w:val="0"/>
          <w:sz w:val="32"/>
          <w:szCs w:val="32"/>
        </w:rPr>
      </w:pPr>
      <w:r>
        <w:rPr>
          <w:rFonts w:hint="eastAsia" w:ascii="宋体" w:hAnsi="宋体" w:eastAsia="宋体" w:cs="宋体"/>
          <w:b w:val="0"/>
          <w:bCs w:val="0"/>
          <w:color w:val="000000"/>
          <w:sz w:val="32"/>
          <w:szCs w:val="32"/>
          <w:shd w:val="clear" w:color="auto" w:fill="FFFFFF"/>
          <w:lang w:eastAsia="zh-CN"/>
        </w:rPr>
        <w:t>裕民县扶贫开发办公室、唐勇</w:t>
      </w:r>
    </w:p>
    <w:p>
      <w:pPr>
        <w:spacing w:line="360" w:lineRule="auto"/>
        <w:ind w:firstLine="640" w:firstLineChars="200"/>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val="en-US" w:eastAsia="zh-CN"/>
        </w:rPr>
        <w:t>4</w:t>
      </w:r>
      <w:r>
        <w:rPr>
          <w:rFonts w:hint="eastAsia" w:ascii="宋体" w:hAnsi="宋体" w:eastAsia="宋体" w:cs="宋体"/>
          <w:b w:val="0"/>
          <w:bCs w:val="0"/>
          <w:sz w:val="32"/>
          <w:szCs w:val="32"/>
        </w:rPr>
        <w:t>、</w:t>
      </w:r>
      <w:r>
        <w:rPr>
          <w:rFonts w:hint="eastAsia" w:ascii="宋体" w:hAnsi="宋体" w:eastAsia="宋体" w:cs="宋体"/>
          <w:b w:val="0"/>
          <w:bCs w:val="0"/>
          <w:sz w:val="32"/>
          <w:szCs w:val="32"/>
          <w:lang w:eastAsia="zh-CN"/>
        </w:rPr>
        <w:t>项目实施单位</w:t>
      </w:r>
    </w:p>
    <w:p>
      <w:pPr>
        <w:spacing w:line="360" w:lineRule="auto"/>
        <w:ind w:firstLine="640" w:firstLineChars="200"/>
        <w:rPr>
          <w:rFonts w:hint="eastAsia" w:ascii="宋体" w:hAnsi="宋体" w:eastAsia="宋体" w:cs="宋体"/>
          <w:b w:val="0"/>
          <w:bCs w:val="0"/>
          <w:sz w:val="32"/>
          <w:szCs w:val="32"/>
        </w:rPr>
      </w:pPr>
      <w:r>
        <w:rPr>
          <w:rFonts w:hint="eastAsia" w:ascii="宋体" w:hAnsi="宋体" w:eastAsia="宋体" w:cs="宋体"/>
          <w:b w:val="0"/>
          <w:bCs w:val="0"/>
          <w:color w:val="000000"/>
          <w:sz w:val="32"/>
          <w:szCs w:val="32"/>
          <w:shd w:val="clear" w:color="auto" w:fill="FFFFFF"/>
          <w:lang w:eastAsia="zh-CN"/>
        </w:rPr>
        <w:t>江格斯乡人民政府、</w:t>
      </w:r>
      <w:r>
        <w:rPr>
          <w:rFonts w:hint="eastAsia" w:ascii="宋体" w:hAnsi="宋体" w:cs="宋体"/>
          <w:b w:val="0"/>
          <w:bCs w:val="0"/>
          <w:color w:val="000000"/>
          <w:sz w:val="32"/>
          <w:szCs w:val="32"/>
          <w:shd w:val="clear" w:color="auto" w:fill="FFFFFF"/>
          <w:lang w:eastAsia="zh-CN"/>
        </w:rPr>
        <w:t>刘利欣</w:t>
      </w:r>
      <w:r>
        <w:rPr>
          <w:rFonts w:hint="eastAsia" w:ascii="宋体" w:hAnsi="宋体" w:eastAsia="宋体" w:cs="宋体"/>
          <w:b w:val="0"/>
          <w:bCs w:val="0"/>
          <w:color w:val="000000"/>
          <w:sz w:val="32"/>
          <w:szCs w:val="32"/>
          <w:shd w:val="clear" w:color="auto" w:fill="FFFFFF"/>
          <w:lang w:val="en-US" w:eastAsia="zh-CN"/>
        </w:rPr>
        <w:t xml:space="preserve">  </w:t>
      </w:r>
    </w:p>
    <w:p>
      <w:pPr>
        <w:spacing w:line="360" w:lineRule="auto"/>
        <w:ind w:firstLine="640" w:firstLineChars="200"/>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val="en-US" w:eastAsia="zh-CN"/>
        </w:rPr>
        <w:t>5</w:t>
      </w:r>
      <w:r>
        <w:rPr>
          <w:rFonts w:hint="eastAsia" w:ascii="宋体" w:hAnsi="宋体" w:eastAsia="宋体" w:cs="宋体"/>
          <w:b w:val="0"/>
          <w:bCs w:val="0"/>
          <w:sz w:val="32"/>
          <w:szCs w:val="32"/>
        </w:rPr>
        <w:t>、</w:t>
      </w:r>
      <w:r>
        <w:rPr>
          <w:rFonts w:hint="eastAsia" w:ascii="宋体" w:hAnsi="宋体" w:eastAsia="宋体" w:cs="宋体"/>
          <w:b w:val="0"/>
          <w:bCs w:val="0"/>
          <w:sz w:val="32"/>
          <w:szCs w:val="32"/>
          <w:lang w:eastAsia="zh-CN"/>
        </w:rPr>
        <w:t>项目建设性质</w:t>
      </w:r>
    </w:p>
    <w:p>
      <w:pPr>
        <w:spacing w:line="360" w:lineRule="auto"/>
        <w:ind w:firstLine="640" w:firstLineChars="200"/>
        <w:rPr>
          <w:rFonts w:hint="eastAsia" w:ascii="宋体" w:hAnsi="宋体" w:eastAsia="宋体" w:cs="宋体"/>
          <w:b w:val="0"/>
          <w:bCs w:val="0"/>
          <w:color w:val="000000"/>
          <w:sz w:val="32"/>
          <w:szCs w:val="32"/>
          <w:shd w:val="clear" w:color="auto" w:fill="FFFFFF"/>
          <w:lang w:val="en-US" w:eastAsia="zh-CN"/>
        </w:rPr>
      </w:pPr>
      <w:r>
        <w:rPr>
          <w:rFonts w:hint="eastAsia" w:ascii="宋体" w:hAnsi="宋体" w:eastAsia="宋体" w:cs="宋体"/>
          <w:b w:val="0"/>
          <w:bCs w:val="0"/>
          <w:color w:val="000000"/>
          <w:sz w:val="32"/>
          <w:szCs w:val="32"/>
          <w:shd w:val="clear" w:color="auto" w:fill="FFFFFF"/>
        </w:rPr>
        <w:t>新建</w:t>
      </w:r>
      <w:r>
        <w:rPr>
          <w:rFonts w:hint="eastAsia" w:ascii="宋体" w:hAnsi="宋体" w:eastAsia="宋体" w:cs="宋体"/>
          <w:b w:val="0"/>
          <w:bCs w:val="0"/>
          <w:color w:val="000000"/>
          <w:sz w:val="32"/>
          <w:szCs w:val="32"/>
          <w:shd w:val="clear" w:color="auto" w:fill="FFFFFF"/>
          <w:lang w:val="en-US" w:eastAsia="zh-CN"/>
        </w:rPr>
        <w:t xml:space="preserve">  </w:t>
      </w:r>
    </w:p>
    <w:p>
      <w:pPr>
        <w:spacing w:line="360" w:lineRule="auto"/>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lang w:val="en-US" w:eastAsia="zh-CN"/>
        </w:rPr>
        <w:t>6</w:t>
      </w:r>
      <w:r>
        <w:rPr>
          <w:rFonts w:hint="eastAsia" w:ascii="宋体" w:hAnsi="宋体" w:eastAsia="宋体" w:cs="宋体"/>
          <w:b w:val="0"/>
          <w:bCs w:val="0"/>
          <w:sz w:val="32"/>
          <w:szCs w:val="32"/>
        </w:rPr>
        <w:t>、项目类别</w:t>
      </w:r>
    </w:p>
    <w:p>
      <w:pPr>
        <w:spacing w:line="360" w:lineRule="auto"/>
        <w:ind w:firstLine="640" w:firstLineChars="200"/>
        <w:rPr>
          <w:rFonts w:hint="eastAsia" w:ascii="宋体" w:hAnsi="宋体" w:eastAsia="宋体" w:cs="宋体"/>
          <w:b w:val="0"/>
          <w:bCs w:val="0"/>
          <w:color w:val="000000"/>
          <w:sz w:val="32"/>
          <w:szCs w:val="32"/>
          <w:shd w:val="clear" w:color="auto" w:fill="FFFFFF"/>
          <w:lang w:val="en-US"/>
        </w:rPr>
      </w:pPr>
      <w:r>
        <w:rPr>
          <w:rFonts w:hint="eastAsia" w:ascii="宋体" w:hAnsi="宋体" w:cs="宋体"/>
          <w:b w:val="0"/>
          <w:bCs w:val="0"/>
          <w:color w:val="000000"/>
          <w:sz w:val="32"/>
          <w:szCs w:val="32"/>
          <w:shd w:val="clear" w:color="auto" w:fill="FFFFFF"/>
          <w:lang w:val="en-US" w:eastAsia="zh-CN"/>
        </w:rPr>
        <w:t>产业项目</w:t>
      </w:r>
      <w:r>
        <w:rPr>
          <w:rFonts w:hint="eastAsia" w:ascii="宋体" w:hAnsi="宋体" w:eastAsia="宋体" w:cs="宋体"/>
          <w:b w:val="0"/>
          <w:bCs w:val="0"/>
          <w:color w:val="000000"/>
          <w:sz w:val="32"/>
          <w:szCs w:val="32"/>
          <w:shd w:val="clear" w:color="auto" w:fill="FFFFFF"/>
          <w:lang w:val="en-US" w:eastAsia="zh-CN"/>
        </w:rPr>
        <w:t xml:space="preserve"> </w:t>
      </w:r>
    </w:p>
    <w:p>
      <w:pPr>
        <w:numPr>
          <w:ilvl w:val="0"/>
          <w:numId w:val="1"/>
        </w:numPr>
        <w:spacing w:line="360" w:lineRule="auto"/>
        <w:ind w:firstLine="640" w:firstLineChars="200"/>
        <w:rPr>
          <w:rFonts w:hint="eastAsia" w:ascii="宋体" w:hAnsi="宋体" w:eastAsia="宋体" w:cs="宋体"/>
          <w:b w:val="0"/>
          <w:bCs w:val="0"/>
          <w:color w:val="000000"/>
          <w:sz w:val="32"/>
          <w:szCs w:val="32"/>
          <w:shd w:val="clear" w:color="auto" w:fill="FFFFFF"/>
        </w:rPr>
      </w:pPr>
      <w:r>
        <w:rPr>
          <w:rFonts w:hint="eastAsia" w:ascii="宋体" w:hAnsi="宋体" w:eastAsia="宋体" w:cs="宋体"/>
          <w:b w:val="0"/>
          <w:bCs w:val="0"/>
          <w:color w:val="000000"/>
          <w:sz w:val="32"/>
          <w:szCs w:val="32"/>
          <w:shd w:val="clear" w:color="auto" w:fill="FFFFFF"/>
          <w:lang w:eastAsia="zh-CN"/>
        </w:rPr>
        <w:t>项目建设内容</w:t>
      </w:r>
    </w:p>
    <w:p>
      <w:pPr>
        <w:numPr>
          <w:ilvl w:val="0"/>
          <w:numId w:val="0"/>
        </w:numPr>
        <w:spacing w:line="360" w:lineRule="auto"/>
        <w:ind w:firstLine="640" w:firstLineChars="200"/>
        <w:rPr>
          <w:rFonts w:hint="eastAsia" w:ascii="宋体" w:hAnsi="宋体" w:eastAsia="宋体" w:cs="宋体"/>
          <w:b w:val="0"/>
          <w:bCs w:val="0"/>
          <w:color w:val="000000"/>
          <w:sz w:val="32"/>
          <w:szCs w:val="32"/>
          <w:shd w:val="clear" w:color="auto" w:fill="FFFFFF"/>
          <w:lang w:val="en-US" w:eastAsia="zh-CN"/>
        </w:rPr>
      </w:pPr>
      <w:r>
        <w:rPr>
          <w:rFonts w:hint="eastAsia" w:ascii="宋体" w:hAnsi="宋体" w:eastAsia="宋体" w:cs="宋体"/>
          <w:b w:val="0"/>
          <w:bCs w:val="0"/>
          <w:color w:val="000000" w:themeColor="text1"/>
          <w:kern w:val="0"/>
          <w:sz w:val="32"/>
          <w:szCs w:val="32"/>
          <w:lang w:val="en-US" w:eastAsia="zh-CN"/>
          <w14:textFill>
            <w14:solidFill>
              <w14:schemeClr w14:val="tx1"/>
            </w14:solidFill>
          </w14:textFill>
        </w:rPr>
        <w:t>购置工厂设备一套、厂房维修180平方米左右及200亩种植地围栏及相关配套设施，最终以设计为准</w:t>
      </w:r>
      <w:r>
        <w:rPr>
          <w:rFonts w:hint="eastAsia" w:ascii="宋体" w:hAnsi="宋体" w:eastAsia="宋体" w:cs="宋体"/>
          <w:b w:val="0"/>
          <w:bCs w:val="0"/>
          <w:color w:val="000000"/>
          <w:sz w:val="32"/>
          <w:szCs w:val="32"/>
          <w:shd w:val="clear" w:color="auto" w:fill="FFFFFF"/>
          <w:lang w:val="en-US" w:eastAsia="zh-CN"/>
        </w:rPr>
        <w:t>。</w:t>
      </w:r>
    </w:p>
    <w:p>
      <w:pPr>
        <w:numPr>
          <w:ilvl w:val="0"/>
          <w:numId w:val="1"/>
        </w:numPr>
        <w:spacing w:line="360" w:lineRule="auto"/>
        <w:ind w:left="0" w:leftChars="0" w:firstLine="640" w:firstLineChars="200"/>
        <w:rPr>
          <w:rFonts w:hint="eastAsia" w:ascii="宋体" w:hAnsi="宋体" w:eastAsia="宋体" w:cs="宋体"/>
          <w:b w:val="0"/>
          <w:bCs w:val="0"/>
          <w:color w:val="000000"/>
          <w:sz w:val="32"/>
          <w:szCs w:val="32"/>
          <w:shd w:val="clear" w:color="auto" w:fill="FFFFFF"/>
          <w:lang w:val="en-US" w:eastAsia="zh-CN"/>
        </w:rPr>
      </w:pPr>
      <w:r>
        <w:rPr>
          <w:rFonts w:hint="eastAsia" w:ascii="宋体" w:hAnsi="宋体" w:eastAsia="宋体" w:cs="宋体"/>
          <w:b w:val="0"/>
          <w:bCs w:val="0"/>
          <w:color w:val="000000"/>
          <w:sz w:val="32"/>
          <w:szCs w:val="32"/>
          <w:shd w:val="clear" w:color="auto" w:fill="FFFFFF"/>
          <w:lang w:val="en-US" w:eastAsia="zh-CN"/>
        </w:rPr>
        <w:t>项目建设期限</w:t>
      </w:r>
    </w:p>
    <w:p>
      <w:pPr>
        <w:spacing w:line="360" w:lineRule="auto"/>
        <w:ind w:firstLine="640" w:firstLineChars="200"/>
        <w:rPr>
          <w:rFonts w:hint="eastAsia" w:ascii="宋体" w:hAnsi="宋体" w:eastAsia="宋体" w:cs="宋体"/>
          <w:b w:val="0"/>
          <w:bCs w:val="0"/>
          <w:sz w:val="32"/>
          <w:szCs w:val="32"/>
        </w:rPr>
      </w:pPr>
      <w:r>
        <w:rPr>
          <w:rFonts w:hint="eastAsia" w:ascii="宋体" w:hAnsi="宋体" w:eastAsia="宋体" w:cs="宋体"/>
          <w:b w:val="0"/>
          <w:bCs w:val="0"/>
          <w:color w:val="000000"/>
          <w:sz w:val="32"/>
          <w:szCs w:val="32"/>
          <w:shd w:val="clear" w:color="auto" w:fill="FFFFFF"/>
        </w:rPr>
        <w:t>项目建设期限为202</w:t>
      </w:r>
      <w:r>
        <w:rPr>
          <w:rFonts w:hint="eastAsia" w:ascii="宋体" w:hAnsi="宋体" w:eastAsia="宋体" w:cs="宋体"/>
          <w:b w:val="0"/>
          <w:bCs w:val="0"/>
          <w:color w:val="000000"/>
          <w:sz w:val="32"/>
          <w:szCs w:val="32"/>
          <w:shd w:val="clear" w:color="auto" w:fill="FFFFFF"/>
          <w:lang w:val="en-US" w:eastAsia="zh-CN"/>
        </w:rPr>
        <w:t>1</w:t>
      </w:r>
      <w:r>
        <w:rPr>
          <w:rFonts w:hint="eastAsia" w:ascii="宋体" w:hAnsi="宋体" w:eastAsia="宋体" w:cs="宋体"/>
          <w:b w:val="0"/>
          <w:bCs w:val="0"/>
          <w:color w:val="000000"/>
          <w:sz w:val="32"/>
          <w:szCs w:val="32"/>
          <w:shd w:val="clear" w:color="auto" w:fill="FFFFFF"/>
        </w:rPr>
        <w:t>年</w:t>
      </w:r>
      <w:r>
        <w:rPr>
          <w:rFonts w:hint="eastAsia" w:ascii="宋体" w:hAnsi="宋体" w:eastAsia="宋体" w:cs="宋体"/>
          <w:b w:val="0"/>
          <w:bCs w:val="0"/>
          <w:sz w:val="32"/>
          <w:szCs w:val="32"/>
        </w:rPr>
        <w:t>4月-</w:t>
      </w:r>
      <w:r>
        <w:rPr>
          <w:rFonts w:hint="eastAsia" w:ascii="宋体" w:hAnsi="宋体" w:eastAsia="宋体" w:cs="宋体"/>
          <w:b w:val="0"/>
          <w:bCs w:val="0"/>
          <w:sz w:val="32"/>
          <w:szCs w:val="32"/>
          <w:lang w:val="en-US" w:eastAsia="zh-CN"/>
        </w:rPr>
        <w:t>7</w:t>
      </w:r>
      <w:r>
        <w:rPr>
          <w:rFonts w:hint="eastAsia" w:ascii="宋体" w:hAnsi="宋体" w:eastAsia="宋体" w:cs="宋体"/>
          <w:b w:val="0"/>
          <w:bCs w:val="0"/>
          <w:sz w:val="32"/>
          <w:szCs w:val="32"/>
        </w:rPr>
        <w:t>月底</w:t>
      </w:r>
    </w:p>
    <w:p>
      <w:pPr>
        <w:numPr>
          <w:ilvl w:val="0"/>
          <w:numId w:val="0"/>
        </w:numPr>
        <w:spacing w:line="360" w:lineRule="auto"/>
        <w:ind w:firstLine="640" w:firstLineChars="200"/>
        <w:rPr>
          <w:rFonts w:hint="eastAsia" w:ascii="宋体" w:hAnsi="宋体" w:eastAsia="宋体" w:cs="宋体"/>
          <w:b w:val="0"/>
          <w:bCs w:val="0"/>
          <w:color w:val="000000"/>
          <w:sz w:val="32"/>
          <w:szCs w:val="32"/>
          <w:shd w:val="clear" w:color="auto" w:fill="FFFFFF"/>
          <w:lang w:val="en-US" w:eastAsia="zh-CN"/>
        </w:rPr>
      </w:pPr>
      <w:r>
        <w:rPr>
          <w:rFonts w:hint="eastAsia" w:ascii="宋体" w:hAnsi="宋体" w:cs="宋体"/>
          <w:b w:val="0"/>
          <w:bCs w:val="0"/>
          <w:color w:val="000000"/>
          <w:sz w:val="32"/>
          <w:szCs w:val="32"/>
          <w:shd w:val="clear" w:color="auto" w:fill="FFFFFF"/>
          <w:lang w:val="en-US" w:eastAsia="zh-CN"/>
        </w:rPr>
        <w:t>9、</w:t>
      </w:r>
      <w:r>
        <w:rPr>
          <w:rFonts w:hint="eastAsia" w:ascii="宋体" w:hAnsi="宋体" w:eastAsia="宋体" w:cs="宋体"/>
          <w:b w:val="0"/>
          <w:bCs w:val="0"/>
          <w:color w:val="000000"/>
          <w:sz w:val="32"/>
          <w:szCs w:val="32"/>
          <w:shd w:val="clear" w:color="auto" w:fill="FFFFFF"/>
          <w:lang w:val="en-US" w:eastAsia="zh-CN"/>
        </w:rPr>
        <w:t>项目建设地点及基本情况</w:t>
      </w:r>
    </w:p>
    <w:p>
      <w:pPr>
        <w:pStyle w:val="12"/>
        <w:spacing w:line="360" w:lineRule="auto"/>
        <w:ind w:firstLine="640" w:firstLineChars="200"/>
        <w:rPr>
          <w:rFonts w:hint="eastAsia" w:ascii="宋体" w:hAnsi="宋体" w:eastAsia="宋体" w:cs="宋体"/>
          <w:color w:val="000000" w:themeColor="text1"/>
          <w:sz w:val="30"/>
          <w:szCs w:val="30"/>
          <w:lang w:val="en-US" w:eastAsia="zh-CN"/>
          <w14:textFill>
            <w14:solidFill>
              <w14:schemeClr w14:val="tx1"/>
            </w14:solidFill>
          </w14:textFill>
        </w:rPr>
      </w:pPr>
      <w:r>
        <w:rPr>
          <w:rFonts w:hint="eastAsia" w:ascii="宋体" w:hAnsi="宋体" w:eastAsia="宋体" w:cs="宋体"/>
          <w:b w:val="0"/>
          <w:bCs w:val="0"/>
          <w:color w:val="000000" w:themeColor="text1"/>
          <w:sz w:val="32"/>
          <w:szCs w:val="32"/>
          <w:lang w:eastAsia="zh-CN"/>
          <w14:textFill>
            <w14:solidFill>
              <w14:schemeClr w14:val="tx1"/>
            </w14:solidFill>
          </w14:textFill>
        </w:rPr>
        <w:t>建设地点在江格斯乡吉兰德村村内，吉兰德村位于县城以西20公里处。全村耕地面积6000亩。人工林地面积30亩。本村丘陵面积大， 山坡向以阳坡和半阴坡为主，坡度在15-25°之间，是营造混交林的良好基地，适宜栽植地埂杨树、榆树、栗子树、松树、酸梅树。该区属干燥 性气候。四季分明雨热同步，年平均气温20℃，年日照时数 3320小时。年均降雨量为40 0mm,集中在7、8、9三个月。全年无霜期150天。土壤主要土壤有黑土和黄 土。土层厚度100厘米。区域 内乔木植被有白蜡树、酸梅、杨树、苹果、杏子、李子等。草木植物有红花、板蓝根、贝母、黄芩、山菊花等。经济收入主要以种植、畜牧、运输为主，人均纯收入13000元。近几年来，吉兰德村充分发挥区位优势，完成了投 资400万的饮水工程，修通了村内公路5公里，使全村建设取得了前所未有的发展，到2019年底，村级基础设施建设基本完善，户户用上清洁卫生的自来水，街巷绿硬化户户通，主要街道水泥化，村容村貌得到极大改观。</w:t>
      </w:r>
    </w:p>
    <w:p>
      <w:pPr>
        <w:pStyle w:val="3"/>
        <w:bidi w:val="0"/>
        <w:jc w:val="center"/>
        <w:rPr>
          <w:rFonts w:hint="default" w:ascii="宋体" w:hAnsi="宋体" w:eastAsia="宋体" w:cs="宋体"/>
          <w:lang w:val="en-US" w:eastAsia="zh-CN"/>
        </w:rPr>
      </w:pPr>
      <w:bookmarkStart w:id="1" w:name="_Toc204776353"/>
      <w:bookmarkStart w:id="2" w:name="_Toc275902230"/>
      <w:bookmarkStart w:id="3" w:name="_Toc28152"/>
      <w:bookmarkStart w:id="4" w:name="_Toc250721788"/>
      <w:bookmarkStart w:id="5" w:name="_Toc181418476"/>
      <w:bookmarkStart w:id="6" w:name="_Toc204684266"/>
      <w:bookmarkStart w:id="7" w:name="_Toc275902615"/>
      <w:bookmarkStart w:id="8" w:name="_Toc36652442"/>
      <w:bookmarkStart w:id="9" w:name="_Toc426051081"/>
      <w:bookmarkStart w:id="10" w:name="_Toc204172495"/>
      <w:bookmarkStart w:id="11" w:name="_Toc252281681"/>
      <w:bookmarkStart w:id="12" w:name="_Toc185228824"/>
      <w:bookmarkStart w:id="13" w:name="_Toc177197643"/>
      <w:bookmarkStart w:id="14" w:name="_Toc179660496"/>
      <w:bookmarkStart w:id="15" w:name="_Toc177196612"/>
      <w:bookmarkStart w:id="16" w:name="_Toc180928026"/>
      <w:bookmarkStart w:id="17" w:name="_Toc180995090"/>
      <w:bookmarkStart w:id="18" w:name="_Toc203998740"/>
      <w:bookmarkStart w:id="19" w:name="_Toc296932156"/>
      <w:bookmarkStart w:id="20" w:name="_Toc28441"/>
      <w:r>
        <w:rPr>
          <w:rFonts w:hint="eastAsia" w:ascii="宋体" w:hAnsi="宋体" w:eastAsia="宋体" w:cs="宋体"/>
        </w:rPr>
        <w:t>二</w:t>
      </w:r>
      <w:r>
        <w:rPr>
          <w:rFonts w:hint="eastAsia" w:ascii="宋体" w:hAnsi="宋体" w:cs="宋体"/>
          <w:lang w:eastAsia="zh-CN"/>
        </w:rPr>
        <w:t>、</w:t>
      </w:r>
      <w:r>
        <w:rPr>
          <w:rFonts w:hint="eastAsia" w:ascii="宋体" w:hAnsi="宋体" w:eastAsia="宋体" w:cs="宋体"/>
        </w:rPr>
        <w:t>项目</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hint="eastAsia" w:ascii="宋体" w:hAnsi="宋体" w:cs="宋体"/>
          <w:lang w:val="en-US" w:eastAsia="zh-CN"/>
        </w:rPr>
        <w:t>立项情况</w:t>
      </w:r>
      <w:bookmarkEnd w:id="20"/>
    </w:p>
    <w:p>
      <w:pPr>
        <w:widowControl w:val="0"/>
        <w:rPr>
          <w:rFonts w:hint="eastAsia" w:ascii="Calibri" w:hAnsi="Calibri" w:eastAsia="宋体" w:cs="Times New Roman"/>
          <w:sz w:val="32"/>
          <w:szCs w:val="32"/>
          <w:lang w:val="en-US" w:eastAsia="zh-CN"/>
        </w:rPr>
      </w:pPr>
      <w:bookmarkStart w:id="21" w:name="_Toc250721790"/>
      <w:bookmarkStart w:id="22" w:name="_Toc426051083"/>
      <w:bookmarkStart w:id="23" w:name="_Toc177197645"/>
      <w:bookmarkStart w:id="24" w:name="_Toc185228826"/>
      <w:bookmarkStart w:id="25" w:name="_Toc204684268"/>
      <w:bookmarkStart w:id="26" w:name="_Toc275902232"/>
      <w:bookmarkStart w:id="27" w:name="_Toc36652447"/>
      <w:bookmarkStart w:id="28" w:name="_Toc204776355"/>
      <w:bookmarkStart w:id="29" w:name="_Toc181418478"/>
      <w:bookmarkStart w:id="30" w:name="_Toc204172497"/>
      <w:bookmarkStart w:id="31" w:name="_Toc180995092"/>
      <w:bookmarkStart w:id="32" w:name="_Toc203998742"/>
      <w:bookmarkStart w:id="33" w:name="_Toc31579"/>
      <w:bookmarkStart w:id="34" w:name="_Toc177196614"/>
      <w:bookmarkStart w:id="35" w:name="_Toc296932158"/>
      <w:bookmarkStart w:id="36" w:name="_Toc275902617"/>
      <w:bookmarkStart w:id="37" w:name="_Toc180928028"/>
      <w:bookmarkStart w:id="38" w:name="_Toc179660498"/>
      <w:bookmarkStart w:id="39" w:name="_Toc252281683"/>
      <w:r>
        <w:rPr>
          <w:rFonts w:hint="eastAsia" w:ascii="Calibri" w:hAnsi="Calibri" w:eastAsia="宋体" w:cs="Times New Roman"/>
          <w:sz w:val="32"/>
          <w:szCs w:val="32"/>
          <w:lang w:val="en-US" w:eastAsia="zh-CN"/>
        </w:rPr>
        <w:t>1、项目建设依据</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《中共中央关于制定国民经济和社会发展第十</w:t>
      </w:r>
      <w:r>
        <w:rPr>
          <w:rFonts w:hint="eastAsia" w:asciiTheme="minorEastAsia" w:hAnsiTheme="minorEastAsia" w:eastAsiaTheme="minorEastAsia" w:cstheme="minorEastAsia"/>
          <w:sz w:val="32"/>
          <w:szCs w:val="32"/>
          <w:lang w:eastAsia="zh-CN"/>
        </w:rPr>
        <w:t>四</w:t>
      </w:r>
      <w:r>
        <w:rPr>
          <w:rFonts w:hint="eastAsia" w:asciiTheme="minorEastAsia" w:hAnsiTheme="minorEastAsia" w:eastAsiaTheme="minorEastAsia" w:cstheme="minorEastAsia"/>
          <w:sz w:val="32"/>
          <w:szCs w:val="32"/>
        </w:rPr>
        <w:t>个五年规划》；</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国务院《于实施乡村振兴战略的意见》；</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《裕民县十</w:t>
      </w:r>
      <w:r>
        <w:rPr>
          <w:rFonts w:hint="eastAsia" w:asciiTheme="minorEastAsia" w:hAnsiTheme="minorEastAsia" w:eastAsiaTheme="minorEastAsia" w:cstheme="minorEastAsia"/>
          <w:sz w:val="32"/>
          <w:szCs w:val="32"/>
          <w:lang w:eastAsia="zh-CN"/>
        </w:rPr>
        <w:t>四</w:t>
      </w:r>
      <w:r>
        <w:rPr>
          <w:rFonts w:hint="eastAsia" w:asciiTheme="minorEastAsia" w:hAnsiTheme="minorEastAsia" w:eastAsiaTheme="minorEastAsia" w:cstheme="minorEastAsia"/>
          <w:sz w:val="32"/>
          <w:szCs w:val="32"/>
        </w:rPr>
        <w:t>五发展规划》；</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《财政专项资金管理办法》；</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5</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《建设项目经济评价方法与参数》第三版；</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6</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《投资项目可行性研究指南》（试用版）；</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7</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 xml:space="preserve"> 建设单位提供的其他与项目有关的资料。</w:t>
      </w:r>
    </w:p>
    <w:p>
      <w:pPr>
        <w:widowControl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8</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《城市道路设计规范》CJJ169-2012</w:t>
      </w:r>
    </w:p>
    <w:p>
      <w:pPr>
        <w:pStyle w:val="17"/>
        <w:spacing w:line="360" w:lineRule="auto"/>
        <w:ind w:left="0" w:leftChars="0" w:firstLine="0" w:firstLineChars="0"/>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32"/>
          <w:szCs w:val="32"/>
          <w14:textFill>
            <w14:solidFill>
              <w14:schemeClr w14:val="tx1"/>
            </w14:solidFill>
          </w14:textFill>
        </w:rPr>
        <w:t>）《裕民县城市总体规划》（2012-2030）；</w:t>
      </w:r>
    </w:p>
    <w:p>
      <w:pPr>
        <w:pStyle w:val="17"/>
        <w:spacing w:line="360" w:lineRule="auto"/>
        <w:ind w:left="0" w:leftChars="0" w:firstLine="0" w:firstLineChars="0"/>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32"/>
          <w:szCs w:val="32"/>
          <w14:textFill>
            <w14:solidFill>
              <w14:schemeClr w14:val="tx1"/>
            </w14:solidFill>
          </w14:textFill>
        </w:rPr>
        <w:t>）《投资项目可行性研究指南》；</w:t>
      </w:r>
    </w:p>
    <w:p>
      <w:pPr>
        <w:pStyle w:val="17"/>
        <w:spacing w:line="360" w:lineRule="auto"/>
        <w:ind w:left="0" w:leftChars="0" w:firstLine="0" w:firstLineChars="0"/>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32"/>
          <w:szCs w:val="32"/>
          <w14:textFill>
            <w14:solidFill>
              <w14:schemeClr w14:val="tx1"/>
            </w14:solidFill>
          </w14:textFill>
        </w:rPr>
        <w:t>）《公共建筑节能设计标准》(GB50189-2015)；</w:t>
      </w:r>
    </w:p>
    <w:p>
      <w:pPr>
        <w:pStyle w:val="17"/>
        <w:spacing w:line="360" w:lineRule="auto"/>
        <w:ind w:left="0" w:leftChars="0" w:firstLine="0" w:firstLineChars="0"/>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32"/>
          <w:szCs w:val="32"/>
          <w14:textFill>
            <w14:solidFill>
              <w14:schemeClr w14:val="tx1"/>
            </w14:solidFill>
          </w14:textFill>
        </w:rPr>
        <w:t>）《民用建筑设计统一标准》（GB50352-2019）；</w:t>
      </w:r>
    </w:p>
    <w:p>
      <w:pPr>
        <w:pStyle w:val="17"/>
        <w:spacing w:line="360" w:lineRule="auto"/>
        <w:ind w:left="0" w:leftChars="0" w:firstLine="0" w:firstLineChars="0"/>
        <w:rPr>
          <w:rFonts w:hint="eastAsia" w:asciiTheme="minorEastAsia" w:hAnsiTheme="minorEastAsia" w:eastAsiaTheme="minorEastAsia" w:cstheme="minorEastAsia"/>
          <w:color w:val="000000" w:themeColor="text1"/>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32"/>
          <w:szCs w:val="32"/>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13</w:t>
      </w:r>
      <w:r>
        <w:rPr>
          <w:rFonts w:hint="eastAsia" w:asciiTheme="minorEastAsia" w:hAnsiTheme="minorEastAsia" w:eastAsiaTheme="minorEastAsia" w:cstheme="minorEastAsia"/>
          <w:color w:val="000000" w:themeColor="text1"/>
          <w:sz w:val="32"/>
          <w:szCs w:val="32"/>
          <w14:textFill>
            <w14:solidFill>
              <w14:schemeClr w14:val="tx1"/>
            </w14:solidFill>
          </w14:textFill>
        </w:rPr>
        <w:t>）</w:t>
      </w:r>
      <w:r>
        <w:rPr>
          <w:rFonts w:hint="eastAsia" w:asciiTheme="minorEastAsia" w:hAnsiTheme="minorEastAsia" w:eastAsiaTheme="minorEastAsia" w:cstheme="minorEastAsia"/>
          <w:color w:val="000000" w:themeColor="text1"/>
          <w:sz w:val="32"/>
          <w:szCs w:val="32"/>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32"/>
          <w:szCs w:val="32"/>
          <w14:textFill>
            <w14:solidFill>
              <w14:schemeClr w14:val="tx1"/>
            </w14:solidFill>
          </w14:textFill>
        </w:rPr>
        <w:t>建筑工程设计文件编制深度规定（2016年版）</w:t>
      </w:r>
    </w:p>
    <w:p>
      <w:pPr>
        <w:widowControl w:val="0"/>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14</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《工程地质手册》(第五版)</w:t>
      </w:r>
    </w:p>
    <w:p>
      <w:pPr>
        <w:rPr>
          <w:rFonts w:hint="eastAsia" w:ascii="宋体" w:hAnsi="宋体" w:eastAsia="宋体" w:cs="宋体"/>
          <w:lang w:val="en-US"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Pr>
        <w:widowControl w:val="0"/>
        <w:spacing w:line="360" w:lineRule="auto"/>
        <w:rPr>
          <w:rFonts w:hint="eastAsia" w:asciiTheme="minorEastAsia" w:hAnsiTheme="minorEastAsia" w:eastAsiaTheme="minorEastAsia" w:cstheme="minorEastAsia"/>
          <w:sz w:val="32"/>
          <w:szCs w:val="32"/>
          <w:lang w:val="en-US" w:eastAsia="zh-CN"/>
        </w:rPr>
      </w:pPr>
      <w:bookmarkStart w:id="40" w:name="_Toc252281685"/>
      <w:bookmarkStart w:id="41" w:name="_Toc36652450"/>
      <w:bookmarkStart w:id="42" w:name="_Toc275902619"/>
      <w:bookmarkStart w:id="43" w:name="_Toc250721792"/>
      <w:bookmarkStart w:id="44" w:name="_Toc296932160"/>
      <w:bookmarkStart w:id="45" w:name="_Toc426051085"/>
      <w:bookmarkStart w:id="46" w:name="_Toc275902234"/>
      <w:r>
        <w:rPr>
          <w:rFonts w:hint="eastAsia" w:asciiTheme="minorEastAsia" w:hAnsiTheme="minorEastAsia" w:eastAsiaTheme="minorEastAsia" w:cstheme="minorEastAsia"/>
          <w:sz w:val="32"/>
          <w:szCs w:val="32"/>
          <w:lang w:val="en-US" w:eastAsia="zh-CN"/>
        </w:rPr>
        <w:t>2、项目建设的必要性和可行性</w:t>
      </w:r>
    </w:p>
    <w:p>
      <w:pPr>
        <w:bidi w:val="0"/>
        <w:spacing w:line="360" w:lineRule="auto"/>
        <w:ind w:firstLine="640" w:firstLineChars="200"/>
        <w:rPr>
          <w:rFonts w:hint="eastAsia" w:ascii="宋体" w:hAnsi="宋体" w:eastAsia="宋体" w:cs="宋体"/>
          <w:color w:val="000000" w:themeColor="text1"/>
          <w:kern w:val="0"/>
          <w:sz w:val="30"/>
          <w:szCs w:val="30"/>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32"/>
          <w:szCs w:val="32"/>
          <w:lang w:val="en-US" w:eastAsia="zh-CN" w:bidi="ar-SA"/>
          <w14:textFill>
            <w14:solidFill>
              <w14:schemeClr w14:val="tx1"/>
            </w14:solidFill>
          </w14:textFill>
        </w:rPr>
        <w:t>吸纳周边贫困人口实现了在家门口就业，不但增加了收入，同时成为脱贫致富的好路子。打造“加工厂+合作社+农户”的模式，让有劳动能力的到合作社工作。调整农村产业结构，促进农民增收，促使粮食生产产业化经营有着促进作用和示范带动作用。</w:t>
      </w:r>
    </w:p>
    <w:bookmarkEnd w:id="40"/>
    <w:bookmarkEnd w:id="41"/>
    <w:bookmarkEnd w:id="42"/>
    <w:bookmarkEnd w:id="43"/>
    <w:bookmarkEnd w:id="44"/>
    <w:bookmarkEnd w:id="45"/>
    <w:bookmarkEnd w:id="46"/>
    <w:p>
      <w:pPr>
        <w:pStyle w:val="3"/>
        <w:spacing w:line="360" w:lineRule="auto"/>
        <w:jc w:val="center"/>
        <w:rPr>
          <w:rFonts w:hint="default" w:ascii="宋体" w:hAnsi="宋体" w:eastAsia="宋体" w:cs="宋体"/>
          <w:bCs/>
          <w:color w:val="000000" w:themeColor="text1"/>
          <w:sz w:val="44"/>
          <w:szCs w:val="44"/>
          <w:lang w:val="en-US" w:eastAsia="zh-CN"/>
          <w14:textFill>
            <w14:solidFill>
              <w14:schemeClr w14:val="tx1"/>
            </w14:solidFill>
          </w14:textFill>
        </w:rPr>
      </w:pPr>
      <w:bookmarkStart w:id="47" w:name="_Toc146521155"/>
      <w:bookmarkStart w:id="48" w:name="_Toc167072860"/>
      <w:bookmarkStart w:id="49" w:name="_Toc167276216"/>
      <w:bookmarkStart w:id="50" w:name="_Toc162095536"/>
      <w:bookmarkStart w:id="51" w:name="_Toc250579914"/>
      <w:bookmarkStart w:id="52" w:name="_Toc36652457"/>
      <w:bookmarkStart w:id="53" w:name="_Toc146373973"/>
      <w:bookmarkStart w:id="54" w:name="_Toc275902627"/>
      <w:bookmarkStart w:id="55" w:name="_Toc162415317"/>
      <w:bookmarkStart w:id="56" w:name="_Toc162095249"/>
      <w:bookmarkStart w:id="57" w:name="_Toc162415233"/>
      <w:bookmarkStart w:id="58" w:name="_Toc167050904"/>
      <w:bookmarkStart w:id="59" w:name="_Toc275902242"/>
      <w:bookmarkStart w:id="60" w:name="_Toc250721800"/>
      <w:bookmarkStart w:id="61" w:name="_Toc296932168"/>
      <w:bookmarkStart w:id="62" w:name="_Toc146517110"/>
      <w:bookmarkStart w:id="63" w:name="_Toc167276854"/>
      <w:bookmarkStart w:id="64" w:name="_Toc426051092"/>
      <w:bookmarkStart w:id="65" w:name="_Toc252281693"/>
      <w:bookmarkStart w:id="66" w:name="_Toc26228"/>
      <w:r>
        <w:rPr>
          <w:rFonts w:hint="eastAsia" w:ascii="宋体" w:hAnsi="宋体" w:cs="宋体"/>
          <w:bCs/>
          <w:color w:val="000000" w:themeColor="text1"/>
          <w:sz w:val="44"/>
          <w:szCs w:val="44"/>
          <w:lang w:val="en-US" w:eastAsia="zh-CN"/>
          <w14:textFill>
            <w14:solidFill>
              <w14:schemeClr w14:val="tx1"/>
            </w14:solidFill>
          </w14:textFill>
        </w:rPr>
        <w:t>三</w:t>
      </w:r>
      <w:r>
        <w:rPr>
          <w:rFonts w:hint="eastAsia" w:ascii="宋体" w:hAnsi="宋体" w:cs="宋体"/>
          <w:bCs/>
          <w:color w:val="000000" w:themeColor="text1"/>
          <w:sz w:val="44"/>
          <w:szCs w:val="44"/>
          <w:lang w:eastAsia="zh-CN"/>
          <w14:textFill>
            <w14:solidFill>
              <w14:schemeClr w14:val="tx1"/>
            </w14:solidFill>
          </w14:textFill>
        </w:rPr>
        <w:t>、</w:t>
      </w:r>
      <w:r>
        <w:rPr>
          <w:rFonts w:hint="eastAsia" w:ascii="宋体" w:hAnsi="宋体" w:eastAsia="宋体" w:cs="宋体"/>
          <w:bCs/>
          <w:color w:val="000000" w:themeColor="text1"/>
          <w:sz w:val="44"/>
          <w:szCs w:val="44"/>
          <w14:textFill>
            <w14:solidFill>
              <w14:schemeClr w14:val="tx1"/>
            </w14:solidFill>
          </w14:textFill>
        </w:rPr>
        <w:t>项目</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cs="宋体"/>
          <w:bCs/>
          <w:color w:val="000000" w:themeColor="text1"/>
          <w:sz w:val="44"/>
          <w:szCs w:val="44"/>
          <w:lang w:val="en-US" w:eastAsia="zh-CN"/>
          <w14:textFill>
            <w14:solidFill>
              <w14:schemeClr w14:val="tx1"/>
            </w14:solidFill>
          </w14:textFill>
        </w:rPr>
        <w:t>施工设计</w:t>
      </w:r>
      <w:bookmarkEnd w:id="66"/>
    </w:p>
    <w:p>
      <w:pPr>
        <w:pStyle w:val="12"/>
        <w:spacing w:line="360" w:lineRule="auto"/>
        <w:ind w:firstLine="600" w:firstLineChars="200"/>
        <w:rPr>
          <w:rFonts w:hint="eastAsia" w:ascii="宋体" w:hAnsi="宋体" w:eastAsia="宋体" w:cs="宋体"/>
          <w:color w:val="000000" w:themeColor="text1"/>
          <w:sz w:val="30"/>
          <w:szCs w:val="30"/>
          <w14:textFill>
            <w14:solidFill>
              <w14:schemeClr w14:val="tx1"/>
            </w14:solidFill>
          </w14:textFill>
        </w:rPr>
      </w:pPr>
      <w:bookmarkStart w:id="67" w:name="_Toc250721804"/>
      <w:bookmarkStart w:id="68" w:name="_Toc275902631"/>
      <w:bookmarkStart w:id="69" w:name="_Toc167072864"/>
      <w:bookmarkStart w:id="70" w:name="_Toc426051096"/>
      <w:bookmarkStart w:id="71" w:name="_Toc162095253"/>
      <w:bookmarkStart w:id="72" w:name="_Toc162415237"/>
      <w:bookmarkStart w:id="73" w:name="_Toc36652465"/>
      <w:bookmarkStart w:id="74" w:name="_Toc162095540"/>
      <w:bookmarkStart w:id="75" w:name="_Toc167050908"/>
      <w:bookmarkStart w:id="76" w:name="_Toc146517114"/>
      <w:bookmarkStart w:id="77" w:name="_Toc252281697"/>
      <w:bookmarkStart w:id="78" w:name="_Toc162415321"/>
      <w:bookmarkStart w:id="79" w:name="_Toc146521159"/>
      <w:bookmarkStart w:id="80" w:name="_Toc167276220"/>
      <w:bookmarkStart w:id="81" w:name="_Toc146373977"/>
      <w:bookmarkStart w:id="82" w:name="_Toc250579918"/>
      <w:bookmarkStart w:id="83" w:name="_Toc275902246"/>
      <w:bookmarkStart w:id="84" w:name="_Toc167276858"/>
      <w:bookmarkStart w:id="85" w:name="_Toc296932172"/>
      <w:r>
        <w:rPr>
          <w:rFonts w:hint="eastAsia" w:ascii="宋体" w:hAnsi="宋体" w:eastAsia="宋体" w:cs="宋体"/>
          <w:color w:val="000000" w:themeColor="text1"/>
          <w:sz w:val="30"/>
          <w:szCs w:val="30"/>
          <w14:textFill>
            <w14:solidFill>
              <w14:schemeClr w14:val="tx1"/>
            </w14:solidFill>
          </w14:textFill>
        </w:rPr>
        <w:t>通</w:t>
      </w:r>
      <w:r>
        <w:rPr>
          <w:rFonts w:hint="eastAsia" w:ascii="宋体" w:hAnsi="宋体" w:eastAsia="宋体" w:cs="宋体"/>
          <w:color w:val="000000" w:themeColor="text1"/>
          <w:kern w:val="2"/>
          <w:sz w:val="30"/>
          <w:szCs w:val="30"/>
          <w:lang w:val="en-US" w:eastAsia="zh-CN" w:bidi="ar-SA"/>
          <w14:textFill>
            <w14:solidFill>
              <w14:schemeClr w14:val="tx1"/>
            </w14:solidFill>
          </w14:textFill>
        </w:rPr>
        <w:t>过本项目的建设，调整优化农业结构，促进产业化发展，以西部大开发为契机，以五大基地为突破口，发展特色农业，依靠科技进步，发展高产、优质、高效农业，培植龙头企业，推进区域经济发展</w:t>
      </w:r>
      <w:r>
        <w:rPr>
          <w:rFonts w:hint="eastAsia" w:ascii="宋体" w:hAnsi="宋体" w:eastAsia="宋体" w:cs="宋体"/>
          <w:color w:val="000000" w:themeColor="text1"/>
          <w:kern w:val="2"/>
          <w:sz w:val="30"/>
          <w:szCs w:val="30"/>
          <w:lang w:val="zh-TW" w:eastAsia="zh-TW" w:bidi="ar-SA"/>
          <w14:textFill>
            <w14:solidFill>
              <w14:schemeClr w14:val="tx1"/>
            </w14:solidFill>
          </w14:textFill>
        </w:rPr>
        <w:t>。</w:t>
      </w:r>
    </w:p>
    <w:p>
      <w:pPr>
        <w:bidi w:val="0"/>
        <w:spacing w:line="360" w:lineRule="auto"/>
        <w:rPr>
          <w:rFonts w:hint="eastAsia" w:asciiTheme="minorEastAsia" w:hAnsiTheme="minorEastAsia" w:eastAsiaTheme="minorEastAsia" w:cstheme="minorEastAsia"/>
          <w:sz w:val="32"/>
          <w:szCs w:val="32"/>
        </w:rPr>
      </w:pPr>
      <w:bookmarkStart w:id="86" w:name="_Toc479848850"/>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rPr>
        <w:t>项目建设原则</w:t>
      </w:r>
      <w:bookmarkEnd w:id="86"/>
    </w:p>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坚持重本地区实际需求出发的原则，满足县域布局要求，保证群众受益，为社会稳定和经济发展做贡献。</w:t>
      </w:r>
    </w:p>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充分利用现有资源，因地制宜，合理布局。</w:t>
      </w:r>
    </w:p>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坚持高起点、高标准、严要求的基本原则。</w:t>
      </w:r>
    </w:p>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分级负责，专项管理，提高救灾效率。</w:t>
      </w:r>
    </w:p>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5</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加强监管，严格坚持标准、规范运作，确保工程质量。</w:t>
      </w:r>
    </w:p>
    <w:p>
      <w:pPr>
        <w:bidi w:val="0"/>
        <w:spacing w:line="360" w:lineRule="auto"/>
        <w:rPr>
          <w:rFonts w:hint="default" w:asciiTheme="minorEastAsia" w:hAnsiTheme="minorEastAsia" w:eastAsiaTheme="minorEastAsia" w:cstheme="minorEastAsia"/>
          <w:sz w:val="32"/>
          <w:szCs w:val="32"/>
          <w:lang w:val="en-US" w:eastAsia="zh-CN"/>
        </w:rPr>
      </w:pPr>
      <w:bookmarkStart w:id="87" w:name="_Toc479848851"/>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rPr>
        <w:t>建设规模</w:t>
      </w:r>
      <w:bookmarkEnd w:id="87"/>
      <w:r>
        <w:rPr>
          <w:rFonts w:hint="eastAsia" w:asciiTheme="minorEastAsia" w:hAnsiTheme="minorEastAsia" w:eastAsiaTheme="minorEastAsia" w:cstheme="minorEastAsia"/>
          <w:sz w:val="32"/>
          <w:szCs w:val="32"/>
          <w:lang w:val="en-US" w:eastAsia="zh-CN"/>
        </w:rPr>
        <w:t>及技术标准</w:t>
      </w:r>
    </w:p>
    <w:p>
      <w:pPr>
        <w:bidi w:val="0"/>
        <w:spacing w:line="360" w:lineRule="auto"/>
        <w:ind w:firstLine="320" w:firstLineChars="1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（1）购置加工设备一套，厂房维修180平方米左右，及200亩种植地围栏及相关配套设施。</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建筑物高度在</w:t>
      </w:r>
      <w:r>
        <w:rPr>
          <w:rFonts w:hint="eastAsia" w:asciiTheme="minorEastAsia" w:hAnsiTheme="minorEastAsia" w:eastAsiaTheme="minorEastAsia" w:cstheme="minorEastAsia"/>
          <w:sz w:val="32"/>
          <w:szCs w:val="32"/>
          <w:lang w:val="en-US" w:eastAsia="zh-CN"/>
        </w:rPr>
        <w:t>12</w:t>
      </w:r>
      <w:r>
        <w:rPr>
          <w:rFonts w:hint="eastAsia" w:asciiTheme="minorEastAsia" w:hAnsiTheme="minorEastAsia" w:eastAsiaTheme="minorEastAsia" w:cstheme="minorEastAsia"/>
          <w:sz w:val="32"/>
          <w:szCs w:val="32"/>
        </w:rPr>
        <w:t>米以下，为</w:t>
      </w:r>
      <w:r>
        <w:rPr>
          <w:rFonts w:hint="eastAsia" w:asciiTheme="minorEastAsia" w:hAnsiTheme="minorEastAsia" w:eastAsiaTheme="minorEastAsia" w:cstheme="minorEastAsia"/>
          <w:sz w:val="32"/>
          <w:szCs w:val="32"/>
          <w:lang w:val="en-US" w:eastAsia="zh-CN"/>
        </w:rPr>
        <w:t>单</w:t>
      </w:r>
      <w:r>
        <w:rPr>
          <w:rFonts w:hint="eastAsia" w:asciiTheme="minorEastAsia" w:hAnsiTheme="minorEastAsia" w:eastAsiaTheme="minorEastAsia" w:cstheme="minorEastAsia"/>
          <w:sz w:val="32"/>
          <w:szCs w:val="32"/>
        </w:rPr>
        <w:t>层建筑。根据本项目的特点与用途，拟采用</w:t>
      </w:r>
      <w:r>
        <w:rPr>
          <w:rFonts w:hint="eastAsia" w:asciiTheme="minorEastAsia" w:hAnsiTheme="minorEastAsia" w:eastAsiaTheme="minorEastAsia" w:cstheme="minorEastAsia"/>
          <w:sz w:val="32"/>
          <w:szCs w:val="32"/>
          <w:lang w:val="en-US" w:eastAsia="zh-CN"/>
        </w:rPr>
        <w:t>钢架</w:t>
      </w:r>
      <w:r>
        <w:rPr>
          <w:rFonts w:hint="eastAsia" w:asciiTheme="minorEastAsia" w:hAnsiTheme="minorEastAsia" w:eastAsiaTheme="minorEastAsia" w:cstheme="minorEastAsia"/>
          <w:sz w:val="32"/>
          <w:szCs w:val="32"/>
        </w:rPr>
        <w:t>结构。本工程结构材料为钢筋砼梁板，砼强度等级:砼柱C30。建筑的使用年限为50年，建筑物的防火等级为二级，各构件的耐火极限均按《建筑设计防火规范》GB50016--2014执行。建筑材料和预制构件的强度等级、型号、规格、质量必须符合设计要求。</w:t>
      </w:r>
    </w:p>
    <w:tbl>
      <w:tblPr>
        <w:tblStyle w:val="31"/>
        <w:tblW w:w="8820" w:type="dxa"/>
        <w:tblInd w:w="0" w:type="dxa"/>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
      <w:tblGrid>
        <w:gridCol w:w="471"/>
        <w:gridCol w:w="2292"/>
        <w:gridCol w:w="1563"/>
        <w:gridCol w:w="1490"/>
        <w:gridCol w:w="1392"/>
        <w:gridCol w:w="1612"/>
      </w:tblGrid>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8820" w:type="dxa"/>
            <w:gridSpan w:val="6"/>
            <w:tcBorders>
              <w:top w:val="nil"/>
              <w:left w:val="nil"/>
              <w:bottom w:val="nil"/>
              <w:right w:val="nil"/>
            </w:tcBorders>
            <w:vAlign w:val="center"/>
          </w:tcPr>
          <w:p>
            <w:pPr>
              <w:bidi w:val="0"/>
              <w:spacing w:line="360" w:lineRule="auto"/>
              <w:ind w:firstLine="1890" w:firstLineChars="9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建筑物构件的燃烧性能和耐火极限（h）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2763" w:type="dxa"/>
            <w:gridSpan w:val="2"/>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名称 </w:t>
            </w:r>
          </w:p>
        </w:tc>
        <w:tc>
          <w:tcPr>
            <w:tcW w:w="6057" w:type="dxa"/>
            <w:gridSpan w:val="4"/>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耐火等级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2763" w:type="dxa"/>
            <w:gridSpan w:val="2"/>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构件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一级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二级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三级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四级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471" w:type="dxa"/>
            <w:vMerge w:val="restart"/>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墙 </w:t>
            </w:r>
          </w:p>
        </w:tc>
        <w:tc>
          <w:tcPr>
            <w:tcW w:w="22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防火墙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3.00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3.00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3.00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3.00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471" w:type="dxa"/>
            <w:vMerge w:val="continue"/>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22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承重墙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3.00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2.50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2.00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难燃烧体 0.50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471" w:type="dxa"/>
            <w:vMerge w:val="continue"/>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22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非承重墙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1.00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1.00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0.50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燃烧体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471" w:type="dxa"/>
            <w:vMerge w:val="continue"/>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22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疏散走道两侧的隔墙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1.00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1.00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0.50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难燃烧体 0.25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471" w:type="dxa"/>
            <w:vMerge w:val="continue"/>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22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房间隔墙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0.75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0.50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难燃烧体 0.50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难燃烧体 0.25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2763" w:type="dxa"/>
            <w:gridSpan w:val="2"/>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楼板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1.50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1.00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0.50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燃烧体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2763" w:type="dxa"/>
            <w:gridSpan w:val="2"/>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屋顶承重构件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1.50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1.00 </w:t>
            </w:r>
          </w:p>
        </w:tc>
        <w:tc>
          <w:tcPr>
            <w:tcW w:w="139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燃烧体 </w:t>
            </w:r>
          </w:p>
        </w:tc>
        <w:tc>
          <w:tcPr>
            <w:tcW w:w="1612"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燃烧体 </w:t>
            </w:r>
          </w:p>
        </w:tc>
      </w:tr>
      <w:tr>
        <w:tblPrEx>
          <w:tblBorders>
            <w:top w:val="single" w:color="333333" w:sz="6" w:space="0"/>
            <w:left w:val="single" w:color="333333" w:sz="6" w:space="0"/>
            <w:bottom w:val="single" w:color="333333" w:sz="6" w:space="0"/>
            <w:right w:val="single" w:color="333333" w:sz="6" w:space="0"/>
            <w:insideH w:val="none" w:color="auto" w:sz="0" w:space="0"/>
            <w:insideV w:val="none" w:color="auto" w:sz="0" w:space="0"/>
          </w:tblBorders>
          <w:tblLayout w:type="fixed"/>
          <w:tblCellMar>
            <w:top w:w="0" w:type="dxa"/>
            <w:left w:w="0" w:type="dxa"/>
            <w:bottom w:w="0" w:type="dxa"/>
            <w:right w:w="0" w:type="dxa"/>
          </w:tblCellMar>
        </w:tblPrEx>
        <w:tc>
          <w:tcPr>
            <w:tcW w:w="2763" w:type="dxa"/>
            <w:gridSpan w:val="2"/>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吊顶（包括吊顶搁栅） </w:t>
            </w:r>
          </w:p>
        </w:tc>
        <w:tc>
          <w:tcPr>
            <w:tcW w:w="1563"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不燃烧体 0.25 </w:t>
            </w:r>
          </w:p>
        </w:tc>
        <w:tc>
          <w:tcPr>
            <w:tcW w:w="1490" w:type="dxa"/>
            <w:tcBorders>
              <w:top w:val="single" w:color="333333" w:sz="6" w:space="0"/>
              <w:left w:val="single" w:color="333333" w:sz="6" w:space="0"/>
              <w:bottom w:val="single" w:color="333333" w:sz="6" w:space="0"/>
              <w:right w:val="single" w:color="333333" w:sz="6"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难燃烧</w:t>
            </w:r>
          </w:p>
        </w:tc>
        <w:tc>
          <w:tcPr>
            <w:tcW w:w="1392" w:type="dxa"/>
            <w:vAlign w:val="center"/>
          </w:tcPr>
          <w:p>
            <w:pPr>
              <w:bidi w:val="0"/>
              <w:spacing w:line="360" w:lineRule="auto"/>
              <w:rPr>
                <w:rFonts w:hint="eastAsia" w:asciiTheme="minorEastAsia" w:hAnsiTheme="minorEastAsia" w:eastAsiaTheme="minorEastAsia" w:cstheme="minorEastAsia"/>
                <w:sz w:val="21"/>
                <w:szCs w:val="21"/>
              </w:rPr>
            </w:pPr>
          </w:p>
        </w:tc>
        <w:tc>
          <w:tcPr>
            <w:tcW w:w="1612" w:type="dxa"/>
            <w:vAlign w:val="center"/>
          </w:tcPr>
          <w:p>
            <w:pPr>
              <w:bidi w:val="0"/>
              <w:spacing w:line="360" w:lineRule="auto"/>
              <w:rPr>
                <w:rFonts w:hint="eastAsia" w:asciiTheme="minorEastAsia" w:hAnsiTheme="minorEastAsia" w:eastAsiaTheme="minorEastAsia" w:cstheme="minorEastAsia"/>
                <w:sz w:val="21"/>
                <w:szCs w:val="21"/>
              </w:rPr>
            </w:pPr>
          </w:p>
        </w:tc>
      </w:tr>
    </w:tbl>
    <w:p>
      <w:pPr>
        <w:bidi w:val="0"/>
        <w:spacing w:line="360" w:lineRule="auto"/>
        <w:ind w:firstLine="320" w:firstLineChars="1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t>建筑应进行无障碍设计，并应符合现行行业标准《无障碍设计规范》GB50763-2012的规定。设计范围应符合下表规定：</w:t>
      </w:r>
    </w:p>
    <w:tbl>
      <w:tblPr>
        <w:tblStyle w:val="31"/>
        <w:tblW w:w="8920" w:type="dxa"/>
        <w:tblInd w:w="93" w:type="dxa"/>
        <w:tblLayout w:type="fixed"/>
        <w:tblCellMar>
          <w:top w:w="0" w:type="dxa"/>
          <w:left w:w="108" w:type="dxa"/>
          <w:bottom w:w="0" w:type="dxa"/>
          <w:right w:w="108" w:type="dxa"/>
        </w:tblCellMar>
      </w:tblPr>
      <w:tblGrid>
        <w:gridCol w:w="1080"/>
        <w:gridCol w:w="3282"/>
        <w:gridCol w:w="4558"/>
      </w:tblGrid>
      <w:tr>
        <w:tblPrEx>
          <w:tblLayout w:type="fixed"/>
          <w:tblCellMar>
            <w:top w:w="0" w:type="dxa"/>
            <w:left w:w="108" w:type="dxa"/>
            <w:bottom w:w="0" w:type="dxa"/>
            <w:right w:w="108" w:type="dxa"/>
          </w:tblCellMar>
        </w:tblPrEx>
        <w:trPr>
          <w:trHeight w:val="435" w:hRule="atLeast"/>
        </w:trPr>
        <w:tc>
          <w:tcPr>
            <w:tcW w:w="1080" w:type="dxa"/>
            <w:tcBorders>
              <w:top w:val="single" w:color="auto" w:sz="4" w:space="0"/>
              <w:left w:val="single" w:color="auto" w:sz="4" w:space="0"/>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7840" w:type="dxa"/>
            <w:gridSpan w:val="2"/>
            <w:tcBorders>
              <w:top w:val="single" w:color="auto" w:sz="4" w:space="0"/>
              <w:left w:val="nil"/>
              <w:bottom w:val="single" w:color="auto" w:sz="4" w:space="0"/>
              <w:right w:val="single" w:color="000000" w:sz="4" w:space="0"/>
            </w:tcBorders>
            <w:vAlign w:val="center"/>
          </w:tcPr>
          <w:p>
            <w:pPr>
              <w:bidi w:val="0"/>
              <w:spacing w:line="360" w:lineRule="auto"/>
              <w:ind w:firstLine="630" w:firstLineChars="3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无障碍设计的范围              </w:t>
            </w:r>
          </w:p>
        </w:tc>
      </w:tr>
      <w:tr>
        <w:tblPrEx>
          <w:tblLayout w:type="fixed"/>
          <w:tblCellMar>
            <w:top w:w="0" w:type="dxa"/>
            <w:left w:w="108" w:type="dxa"/>
            <w:bottom w:w="0" w:type="dxa"/>
            <w:right w:w="108" w:type="dxa"/>
          </w:tblCellMar>
        </w:tblPrEx>
        <w:trPr>
          <w:trHeight w:val="285" w:hRule="atLeast"/>
        </w:trPr>
        <w:tc>
          <w:tcPr>
            <w:tcW w:w="1080" w:type="dxa"/>
            <w:vMerge w:val="restart"/>
            <w:tcBorders>
              <w:top w:val="single" w:color="auto" w:sz="4" w:space="0"/>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办</w:t>
            </w:r>
          </w:p>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公</w:t>
            </w:r>
          </w:p>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科</w:t>
            </w:r>
          </w:p>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研</w:t>
            </w:r>
          </w:p>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w:t>
            </w:r>
          </w:p>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筑</w:t>
            </w: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建筑类别</w:t>
            </w: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设计部位</w:t>
            </w:r>
          </w:p>
        </w:tc>
      </w:tr>
      <w:tr>
        <w:tblPrEx>
          <w:tblLayout w:type="fixed"/>
          <w:tblCellMar>
            <w:top w:w="0" w:type="dxa"/>
            <w:left w:w="108" w:type="dxa"/>
            <w:bottom w:w="0" w:type="dxa"/>
            <w:right w:w="108" w:type="dxa"/>
          </w:tblCellMar>
        </w:tblPrEx>
        <w:trPr>
          <w:trHeight w:val="285" w:hRule="atLeast"/>
        </w:trPr>
        <w:tc>
          <w:tcPr>
            <w:tcW w:w="1080" w:type="dxa"/>
            <w:vMerge w:val="continue"/>
            <w:tcBorders>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1.建筑基地（人行通道、停车车位）</w:t>
            </w:r>
          </w:p>
        </w:tc>
      </w:tr>
      <w:tr>
        <w:tblPrEx>
          <w:tblLayout w:type="fixed"/>
          <w:tblCellMar>
            <w:top w:w="0" w:type="dxa"/>
            <w:left w:w="108" w:type="dxa"/>
            <w:bottom w:w="0" w:type="dxa"/>
            <w:right w:w="108" w:type="dxa"/>
          </w:tblCellMar>
        </w:tblPrEx>
        <w:trPr>
          <w:trHeight w:val="285" w:hRule="atLeast"/>
        </w:trPr>
        <w:tc>
          <w:tcPr>
            <w:tcW w:w="1080" w:type="dxa"/>
            <w:vMerge w:val="continue"/>
            <w:tcBorders>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各级政府办公建筑</w:t>
            </w: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2.建筑入口、入口平台及门</w:t>
            </w:r>
          </w:p>
        </w:tc>
      </w:tr>
      <w:tr>
        <w:tblPrEx>
          <w:tblLayout w:type="fixed"/>
          <w:tblCellMar>
            <w:top w:w="0" w:type="dxa"/>
            <w:left w:w="108" w:type="dxa"/>
            <w:bottom w:w="0" w:type="dxa"/>
            <w:right w:w="108" w:type="dxa"/>
          </w:tblCellMar>
        </w:tblPrEx>
        <w:trPr>
          <w:trHeight w:val="285" w:hRule="atLeast"/>
        </w:trPr>
        <w:tc>
          <w:tcPr>
            <w:tcW w:w="1080" w:type="dxa"/>
            <w:vMerge w:val="continue"/>
            <w:tcBorders>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各级司法部门建筑</w:t>
            </w: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3.水平与垂直交通</w:t>
            </w:r>
          </w:p>
        </w:tc>
      </w:tr>
      <w:tr>
        <w:tblPrEx>
          <w:tblLayout w:type="fixed"/>
          <w:tblCellMar>
            <w:top w:w="0" w:type="dxa"/>
            <w:left w:w="108" w:type="dxa"/>
            <w:bottom w:w="0" w:type="dxa"/>
            <w:right w:w="108" w:type="dxa"/>
          </w:tblCellMar>
        </w:tblPrEx>
        <w:trPr>
          <w:trHeight w:val="285" w:hRule="atLeast"/>
        </w:trPr>
        <w:tc>
          <w:tcPr>
            <w:tcW w:w="1080" w:type="dxa"/>
            <w:vMerge w:val="continue"/>
            <w:tcBorders>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企事业办公建筑</w:t>
            </w: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4.接待用房（一般接待室、贵宾接待室）</w:t>
            </w:r>
          </w:p>
        </w:tc>
      </w:tr>
      <w:tr>
        <w:tblPrEx>
          <w:tblLayout w:type="fixed"/>
          <w:tblCellMar>
            <w:top w:w="0" w:type="dxa"/>
            <w:left w:w="108" w:type="dxa"/>
            <w:bottom w:w="0" w:type="dxa"/>
            <w:right w:w="108" w:type="dxa"/>
          </w:tblCellMar>
        </w:tblPrEx>
        <w:trPr>
          <w:trHeight w:val="285" w:hRule="atLeast"/>
        </w:trPr>
        <w:tc>
          <w:tcPr>
            <w:tcW w:w="1080" w:type="dxa"/>
            <w:vMerge w:val="continue"/>
            <w:tcBorders>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各类科研建筑</w:t>
            </w: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5.公共用房（会议室、报告厅、审判厅等）</w:t>
            </w:r>
          </w:p>
        </w:tc>
      </w:tr>
      <w:tr>
        <w:tblPrEx>
          <w:tblLayout w:type="fixed"/>
          <w:tblCellMar>
            <w:top w:w="0" w:type="dxa"/>
            <w:left w:w="108" w:type="dxa"/>
            <w:bottom w:w="0" w:type="dxa"/>
            <w:right w:w="108" w:type="dxa"/>
          </w:tblCellMar>
        </w:tblPrEx>
        <w:trPr>
          <w:trHeight w:val="285" w:hRule="atLeast"/>
        </w:trPr>
        <w:tc>
          <w:tcPr>
            <w:tcW w:w="1080" w:type="dxa"/>
            <w:vMerge w:val="continue"/>
            <w:tcBorders>
              <w:left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其他招商、办公、社区服务建筑</w:t>
            </w: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6.公共厕所</w:t>
            </w:r>
          </w:p>
        </w:tc>
      </w:tr>
      <w:tr>
        <w:tblPrEx>
          <w:tblLayout w:type="fixed"/>
          <w:tblCellMar>
            <w:top w:w="0" w:type="dxa"/>
            <w:left w:w="108" w:type="dxa"/>
            <w:bottom w:w="0" w:type="dxa"/>
            <w:right w:w="108" w:type="dxa"/>
          </w:tblCellMar>
        </w:tblPrEx>
        <w:trPr>
          <w:trHeight w:val="405" w:hRule="atLeast"/>
        </w:trPr>
        <w:tc>
          <w:tcPr>
            <w:tcW w:w="1080" w:type="dxa"/>
            <w:vMerge w:val="continue"/>
            <w:tcBorders>
              <w:left w:val="single" w:color="auto" w:sz="4" w:space="0"/>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3282"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p>
        </w:tc>
        <w:tc>
          <w:tcPr>
            <w:tcW w:w="4558" w:type="dxa"/>
            <w:tcBorders>
              <w:top w:val="single" w:color="auto" w:sz="4" w:space="0"/>
              <w:left w:val="nil"/>
              <w:bottom w:val="single" w:color="auto" w:sz="4" w:space="0"/>
              <w:right w:val="single" w:color="auto" w:sz="4" w:space="0"/>
            </w:tcBorders>
            <w:vAlign w:val="center"/>
          </w:tcPr>
          <w:p>
            <w:pPr>
              <w:bidi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7.服务台、公共电话、饮水器等相应设施</w:t>
            </w:r>
          </w:p>
        </w:tc>
      </w:tr>
    </w:tbl>
    <w:p>
      <w:pPr>
        <w:bidi w:val="0"/>
        <w:spacing w:line="360" w:lineRule="auto"/>
        <w:rPr>
          <w:rFonts w:hint="eastAsia" w:asciiTheme="minorEastAsia" w:hAnsiTheme="minorEastAsia" w:eastAsiaTheme="minorEastAsia" w:cstheme="minorEastAsia"/>
          <w:sz w:val="32"/>
          <w:szCs w:val="32"/>
        </w:rPr>
      </w:pPr>
      <w:bookmarkStart w:id="88" w:name="_Toc36652468"/>
      <w:bookmarkStart w:id="89" w:name="_Toc426051100"/>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结构设计</w:t>
      </w:r>
      <w:bookmarkEnd w:id="88"/>
      <w:bookmarkEnd w:id="89"/>
    </w:p>
    <w:p>
      <w:pPr>
        <w:bidi w:val="0"/>
        <w:spacing w:line="360" w:lineRule="auto"/>
        <w:rPr>
          <w:rFonts w:hint="eastAsia" w:asciiTheme="minorEastAsia" w:hAnsiTheme="minorEastAsia" w:eastAsiaTheme="minorEastAsia" w:cstheme="minorEastAsia"/>
          <w:sz w:val="32"/>
          <w:szCs w:val="32"/>
        </w:rPr>
      </w:pPr>
      <w:bookmarkStart w:id="90" w:name="_Toc295241395"/>
      <w:bookmarkStart w:id="91" w:name="_Toc321996090"/>
      <w:bookmarkStart w:id="92" w:name="_Toc296932176"/>
      <w:r>
        <w:rPr>
          <w:rFonts w:hint="eastAsia" w:asciiTheme="minorEastAsia" w:hAnsiTheme="minorEastAsia" w:eastAsiaTheme="minorEastAsia" w:cstheme="minorEastAsia"/>
          <w:sz w:val="32"/>
          <w:szCs w:val="32"/>
        </w:rPr>
        <w:t>混凝土：</w:t>
      </w:r>
    </w:p>
    <w:p>
      <w:pPr>
        <w:bidi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rPr>
        <w:t>基础：柱下独立基础混凝土强度等级为C30；填充墙为素砼条基，砼等级C20。</w:t>
      </w:r>
    </w:p>
    <w:p>
      <w:pPr>
        <w:bidi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rPr>
        <w:t>基础以上结构：框架柱采用C30。</w:t>
      </w:r>
    </w:p>
    <w:p>
      <w:pPr>
        <w:bidi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其余未注明的现浇构件均采用C25混凝土。</w:t>
      </w:r>
    </w:p>
    <w:p>
      <w:pPr>
        <w:bidi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3、</w:t>
      </w:r>
      <w:r>
        <w:rPr>
          <w:rFonts w:hint="eastAsia" w:asciiTheme="minorEastAsia" w:hAnsiTheme="minorEastAsia" w:eastAsiaTheme="minorEastAsia" w:cstheme="minorEastAsia"/>
          <w:sz w:val="32"/>
          <w:szCs w:val="32"/>
        </w:rPr>
        <w:t>钢筋： φ：HPB300级钢筋</w:t>
      </w:r>
    </w:p>
    <w:p>
      <w:pPr>
        <w:bidi w:val="0"/>
        <w:spacing w:line="360" w:lineRule="auto"/>
        <w:ind w:firstLine="1600" w:firstLineChars="5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Φ：HRB400级钢筋</w:t>
      </w:r>
    </w:p>
    <w:p>
      <w:pPr>
        <w:bidi w:val="0"/>
        <w:spacing w:line="360" w:lineRule="auto"/>
        <w:ind w:firstLine="1600" w:firstLineChars="5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钢材：Q235B</w:t>
      </w:r>
    </w:p>
    <w:p>
      <w:pPr>
        <w:bidi w:val="0"/>
        <w:spacing w:line="360" w:lineRule="auto"/>
        <w:rPr>
          <w:rFonts w:hint="eastAsia"/>
          <w:lang w:val="en-US" w:eastAsia="zh-CN"/>
        </w:rPr>
      </w:pPr>
      <w:r>
        <w:rPr>
          <w:rFonts w:hint="eastAsia" w:asciiTheme="minorEastAsia" w:hAnsiTheme="minorEastAsia" w:eastAsiaTheme="minorEastAsia" w:cstheme="minorEastAsia"/>
          <w:sz w:val="32"/>
          <w:szCs w:val="32"/>
          <w:lang w:val="en-US" w:eastAsia="zh-CN"/>
        </w:rPr>
        <w:t>4、</w:t>
      </w:r>
      <w:r>
        <w:rPr>
          <w:rFonts w:hint="eastAsia" w:asciiTheme="minorEastAsia" w:hAnsiTheme="minorEastAsia" w:eastAsiaTheme="minorEastAsia" w:cstheme="minorEastAsia"/>
          <w:sz w:val="32"/>
          <w:szCs w:val="32"/>
        </w:rPr>
        <w:t>墙体：±0.00以下采用M10水泥砂浆，MU15实心砖，±0.00以上采用M10混合砂浆、A5.0加气混凝土砌块。</w:t>
      </w:r>
      <w:bookmarkEnd w:id="90"/>
      <w:bookmarkEnd w:id="91"/>
      <w:bookmarkEnd w:id="92"/>
      <w:bookmarkStart w:id="93" w:name="_Toc9344"/>
      <w:bookmarkStart w:id="94" w:name="_Toc180995127"/>
      <w:bookmarkStart w:id="95" w:name="_Toc388912739"/>
      <w:bookmarkStart w:id="96" w:name="_Toc181418513"/>
      <w:bookmarkStart w:id="97" w:name="_Toc169347113"/>
      <w:bookmarkStart w:id="98" w:name="_Toc169424131"/>
      <w:bookmarkStart w:id="99" w:name="_Toc171766503"/>
      <w:bookmarkStart w:id="100" w:name="_Toc36652510"/>
      <w:bookmarkStart w:id="101" w:name="_Toc422249896"/>
      <w:bookmarkStart w:id="102" w:name="_Toc169424190"/>
      <w:bookmarkStart w:id="103" w:name="_Toc168233169"/>
      <w:bookmarkStart w:id="104" w:name="_Toc177196646"/>
      <w:bookmarkStart w:id="105" w:name="_Toc171479773"/>
      <w:bookmarkStart w:id="106" w:name="_Toc180928064"/>
      <w:bookmarkStart w:id="107" w:name="_Toc204776386"/>
      <w:bookmarkStart w:id="108" w:name="_Toc169000929"/>
      <w:bookmarkStart w:id="109" w:name="_Toc177196645"/>
      <w:bookmarkStart w:id="110" w:name="_Toc169347052"/>
      <w:bookmarkStart w:id="111" w:name="_Toc388700899"/>
      <w:bookmarkStart w:id="112" w:name="_Toc24779"/>
      <w:bookmarkStart w:id="113" w:name="_Toc169083690"/>
      <w:bookmarkStart w:id="114" w:name="_Toc185228856"/>
      <w:bookmarkStart w:id="115" w:name="_Toc389479195"/>
      <w:bookmarkStart w:id="116" w:name="_Toc179660538"/>
      <w:bookmarkStart w:id="117" w:name="_Toc177197676"/>
      <w:bookmarkStart w:id="118" w:name="_Toc169003478"/>
      <w:bookmarkStart w:id="119" w:name="_Toc390100934"/>
      <w:bookmarkStart w:id="120" w:name="_Toc204172528"/>
      <w:bookmarkStart w:id="121" w:name="_Toc179660534"/>
      <w:bookmarkStart w:id="122" w:name="_Toc203998774"/>
      <w:bookmarkStart w:id="123" w:name="_Toc168721379"/>
      <w:bookmarkStart w:id="124" w:name="_Toc181418517"/>
      <w:bookmarkStart w:id="125" w:name="_Toc426051125"/>
      <w:bookmarkStart w:id="126" w:name="_Toc185228860"/>
      <w:bookmarkStart w:id="127" w:name="_Toc180995131"/>
      <w:bookmarkStart w:id="128" w:name="_Toc168233690"/>
      <w:bookmarkStart w:id="129" w:name="_Toc168893522"/>
      <w:bookmarkStart w:id="130" w:name="_Toc203998778"/>
      <w:bookmarkStart w:id="131" w:name="_Toc180928068"/>
      <w:bookmarkStart w:id="132" w:name="_Toc204684299"/>
      <w:bookmarkStart w:id="133" w:name="_Toc177197680"/>
    </w:p>
    <w:p>
      <w:pPr>
        <w:pStyle w:val="3"/>
        <w:bidi w:val="0"/>
        <w:ind w:firstLine="1767" w:firstLineChars="400"/>
        <w:jc w:val="both"/>
        <w:rPr>
          <w:rFonts w:hint="eastAsia"/>
          <w:lang w:val="en-US" w:eastAsia="zh-CN"/>
        </w:rPr>
      </w:pPr>
      <w:bookmarkStart w:id="134" w:name="_Toc440"/>
      <w:r>
        <w:rPr>
          <w:rFonts w:hint="eastAsia"/>
          <w:lang w:val="en-US" w:eastAsia="zh-CN"/>
        </w:rPr>
        <w:t>四、项目投资概算与资金筹措</w:t>
      </w:r>
      <w:bookmarkEnd w:id="93"/>
      <w:bookmarkEnd w:id="134"/>
    </w:p>
    <w:p>
      <w:pPr>
        <w:pStyle w:val="4"/>
        <w:bidi w:val="0"/>
        <w:spacing w:line="360" w:lineRule="auto"/>
        <w:rPr>
          <w:rFonts w:hint="eastAsia" w:ascii="宋体" w:hAnsi="宋体" w:eastAsia="宋体" w:cs="宋体"/>
          <w:sz w:val="32"/>
          <w:szCs w:val="32"/>
          <w:lang w:val="en-US" w:eastAsia="zh-CN"/>
        </w:rPr>
      </w:pPr>
      <w:bookmarkStart w:id="135" w:name="_Toc11127"/>
      <w:bookmarkStart w:id="136" w:name="_Toc4320"/>
      <w:r>
        <w:rPr>
          <w:rFonts w:hint="eastAsia" w:ascii="宋体" w:hAnsi="宋体" w:eastAsia="宋体" w:cs="宋体"/>
          <w:sz w:val="32"/>
          <w:szCs w:val="32"/>
          <w:lang w:val="en-US" w:eastAsia="zh-CN"/>
        </w:rPr>
        <w:t>1、投资估算</w:t>
      </w:r>
      <w:bookmarkEnd w:id="135"/>
      <w:bookmarkEnd w:id="136"/>
    </w:p>
    <w:p>
      <w:pPr>
        <w:bidi w:val="0"/>
        <w:rPr>
          <w:rFonts w:hint="eastAsia" w:ascii="宋体" w:hAnsi="宋体" w:cs="宋体"/>
          <w:sz w:val="32"/>
          <w:szCs w:val="32"/>
          <w:lang w:val="en-US" w:eastAsia="zh-CN"/>
        </w:rPr>
      </w:pPr>
      <w:r>
        <w:rPr>
          <w:rFonts w:hint="eastAsia" w:ascii="宋体" w:hAnsi="宋体" w:eastAsia="宋体" w:cs="宋体"/>
          <w:sz w:val="32"/>
          <w:szCs w:val="32"/>
          <w:lang w:val="en-US" w:eastAsia="zh-CN"/>
        </w:rPr>
        <w:t>项目总投资估算为</w:t>
      </w:r>
      <w:r>
        <w:rPr>
          <w:rFonts w:hint="eastAsia" w:ascii="宋体" w:hAnsi="宋体" w:cs="宋体"/>
          <w:sz w:val="32"/>
          <w:szCs w:val="32"/>
          <w:lang w:val="en-US" w:eastAsia="zh-CN"/>
        </w:rPr>
        <w:t>90</w:t>
      </w:r>
      <w:r>
        <w:rPr>
          <w:rFonts w:hint="eastAsia" w:ascii="宋体" w:hAnsi="宋体" w:eastAsia="宋体" w:cs="宋体"/>
          <w:sz w:val="32"/>
          <w:szCs w:val="32"/>
          <w:lang w:val="en-US" w:eastAsia="zh-CN"/>
        </w:rPr>
        <w:t>万元</w:t>
      </w:r>
    </w:p>
    <w:p>
      <w:pPr>
        <w:pStyle w:val="4"/>
        <w:numPr>
          <w:ilvl w:val="0"/>
          <w:numId w:val="2"/>
        </w:numPr>
        <w:rPr>
          <w:rFonts w:hint="eastAsia" w:ascii="宋体" w:hAnsi="宋体" w:eastAsia="宋体" w:cs="宋体"/>
          <w:sz w:val="32"/>
          <w:szCs w:val="32"/>
          <w:lang w:val="en-US" w:eastAsia="zh-CN"/>
        </w:rPr>
      </w:pPr>
      <w:bookmarkStart w:id="137" w:name="_Toc20929"/>
      <w:r>
        <w:rPr>
          <w:rFonts w:hint="eastAsia" w:ascii="宋体" w:hAnsi="宋体" w:eastAsia="宋体" w:cs="宋体"/>
          <w:sz w:val="32"/>
          <w:szCs w:val="32"/>
          <w:lang w:val="en-US" w:eastAsia="zh-CN"/>
        </w:rPr>
        <w:t>资金筹措</w:t>
      </w:r>
      <w:bookmarkEnd w:id="137"/>
    </w:p>
    <w:p>
      <w:pPr>
        <w:widowControl w:val="0"/>
        <w:rPr>
          <w:rFonts w:hint="default"/>
          <w:highlight w:val="none"/>
          <w:lang w:val="en-US" w:eastAsia="zh-CN"/>
        </w:rPr>
      </w:pPr>
      <w:r>
        <w:rPr>
          <w:rFonts w:hint="eastAsia" w:ascii="Calibri" w:hAnsi="Calibri" w:eastAsia="宋体" w:cs="Times New Roman"/>
          <w:sz w:val="32"/>
          <w:szCs w:val="32"/>
          <w:highlight w:val="none"/>
          <w:lang w:val="en-US" w:eastAsia="zh-CN"/>
        </w:rPr>
        <w:t>申请扶贫资金</w:t>
      </w:r>
      <w:r>
        <w:rPr>
          <w:rFonts w:hint="eastAsia" w:ascii="Calibri" w:hAnsi="Calibri" w:cs="Times New Roman"/>
          <w:sz w:val="32"/>
          <w:szCs w:val="32"/>
          <w:highlight w:val="none"/>
          <w:lang w:val="en-US" w:eastAsia="zh-CN"/>
        </w:rPr>
        <w:t>90</w:t>
      </w:r>
      <w:r>
        <w:rPr>
          <w:rFonts w:hint="eastAsia" w:ascii="Calibri" w:hAnsi="Calibri" w:eastAsia="宋体" w:cs="Times New Roman"/>
          <w:sz w:val="32"/>
          <w:szCs w:val="32"/>
          <w:highlight w:val="none"/>
          <w:lang w:val="en-US" w:eastAsia="zh-CN"/>
        </w:rPr>
        <w:t>万元</w:t>
      </w:r>
    </w:p>
    <w:p>
      <w:pPr>
        <w:pStyle w:val="4"/>
        <w:bidi w:val="0"/>
        <w:spacing w:line="360" w:lineRule="auto"/>
        <w:rPr>
          <w:rFonts w:hint="eastAsia" w:ascii="宋体" w:hAnsi="宋体" w:eastAsia="宋体" w:cs="宋体"/>
          <w:sz w:val="32"/>
          <w:szCs w:val="32"/>
        </w:rPr>
      </w:pPr>
      <w:bookmarkStart w:id="138" w:name="_Toc20612"/>
      <w:bookmarkStart w:id="139" w:name="_Toc12798"/>
      <w:r>
        <w:rPr>
          <w:rFonts w:hint="eastAsia" w:ascii="宋体" w:hAnsi="宋体" w:eastAsia="宋体" w:cs="宋体"/>
          <w:sz w:val="32"/>
          <w:szCs w:val="32"/>
          <w:lang w:val="en-US" w:eastAsia="zh-CN"/>
        </w:rPr>
        <w:t>3、</w:t>
      </w:r>
      <w:r>
        <w:rPr>
          <w:rFonts w:hint="eastAsia" w:ascii="宋体" w:hAnsi="宋体" w:eastAsia="宋体" w:cs="宋体"/>
          <w:sz w:val="32"/>
          <w:szCs w:val="32"/>
        </w:rPr>
        <w:t>资金使用和管理</w:t>
      </w:r>
      <w:bookmarkEnd w:id="138"/>
      <w:bookmarkEnd w:id="139"/>
    </w:p>
    <w:p>
      <w:pPr>
        <w:bidi w:val="0"/>
        <w:ind w:firstLine="960" w:firstLineChars="300"/>
        <w:rPr>
          <w:rFonts w:hint="eastAsia" w:ascii="宋体" w:hAnsi="宋体" w:eastAsia="宋体" w:cs="宋体"/>
          <w:bCs/>
          <w:color w:val="000000" w:themeColor="text1"/>
          <w:sz w:val="32"/>
          <w:szCs w:val="32"/>
          <w14:textFill>
            <w14:solidFill>
              <w14:schemeClr w14:val="tx1"/>
            </w14:solidFill>
          </w14:textFill>
        </w:rPr>
      </w:pPr>
      <w:r>
        <w:rPr>
          <w:rFonts w:hint="eastAsia" w:asciiTheme="minorEastAsia" w:hAnsiTheme="minorEastAsia" w:eastAsiaTheme="minorEastAsia" w:cstheme="minorEastAsia"/>
          <w:sz w:val="32"/>
          <w:szCs w:val="32"/>
        </w:rPr>
        <w:t>扶贫资金使用和管理应按照《新疆维吾尔自治区财政专项扶贫资金（扶贫发展项目管理办法（暂行的通知》（新财扶〔2017〕32号、《关于进一步加强财政扶贫资金监督管理的意见》（新财脱贫组〔2019〕2号等相关文件要求。项目实施单位依据项目计划和实施进度,提出支付申请并提供相关真实、合规的证明材料，制定资金使用计划，经审核后按照国库集中支付管理制度的规定和程序及时支付资金。从国库直接支付到扶贫项目承担的企业、商户或建档立卡个人。严格执行专款专用，杜绝挤占、挪用项目资金，严禁虚列支出、以拨代支虚增项目进度。项目资金支付后,在审计或检查中发现资金使用存在违法违规问题的，应及时追回、收回。对资金使用严格监管，防止资用不精准、虚报冒领。</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Pr>
        <w:pStyle w:val="3"/>
        <w:bidi w:val="0"/>
        <w:jc w:val="center"/>
        <w:rPr>
          <w:rFonts w:hint="eastAsia" w:ascii="宋体" w:hAnsi="宋体" w:eastAsia="宋体" w:cs="宋体"/>
          <w:sz w:val="32"/>
          <w:szCs w:val="32"/>
          <w:lang w:val="en-US" w:eastAsia="zh-CN"/>
        </w:rPr>
      </w:pPr>
      <w:bookmarkStart w:id="140" w:name="_Toc32565"/>
      <w:bookmarkStart w:id="141" w:name="_Toc10935"/>
      <w:bookmarkStart w:id="142" w:name="_Toc204684303"/>
      <w:bookmarkStart w:id="143" w:name="_Toc36652514"/>
      <w:bookmarkStart w:id="144" w:name="_Toc390100938"/>
      <w:bookmarkStart w:id="145" w:name="_Toc22161"/>
      <w:bookmarkStart w:id="146" w:name="_Toc388912743"/>
      <w:bookmarkStart w:id="147" w:name="_Toc204172532"/>
      <w:bookmarkStart w:id="148" w:name="_Toc389479199"/>
      <w:bookmarkStart w:id="149" w:name="_Toc388700903"/>
      <w:bookmarkStart w:id="150" w:name="_Toc204776390"/>
      <w:bookmarkStart w:id="151" w:name="_Toc426051129"/>
      <w:bookmarkStart w:id="152" w:name="_Toc422249900"/>
      <w:r>
        <w:rPr>
          <w:rFonts w:hint="eastAsia" w:ascii="宋体" w:hAnsi="宋体" w:eastAsia="宋体" w:cs="宋体"/>
          <w:sz w:val="44"/>
          <w:szCs w:val="44"/>
          <w:lang w:val="en-US" w:eastAsia="zh-CN"/>
        </w:rPr>
        <w:t>五、项目实施保障措施</w:t>
      </w:r>
      <w:bookmarkEnd w:id="140"/>
      <w:bookmarkEnd w:id="141"/>
    </w:p>
    <w:p>
      <w:pPr>
        <w:pStyle w:val="4"/>
        <w:bidi w:val="0"/>
        <w:rPr>
          <w:rFonts w:hint="eastAsia" w:ascii="宋体" w:hAnsi="宋体" w:eastAsia="宋体" w:cs="宋体"/>
          <w:sz w:val="32"/>
          <w:szCs w:val="32"/>
          <w:lang w:val="en-US" w:eastAsia="zh-CN"/>
        </w:rPr>
      </w:pPr>
      <w:bookmarkStart w:id="153" w:name="_Toc2203"/>
      <w:bookmarkStart w:id="154" w:name="_Toc22562"/>
      <w:r>
        <w:rPr>
          <w:rFonts w:hint="eastAsia" w:ascii="宋体" w:hAnsi="宋体" w:eastAsia="宋体" w:cs="宋体"/>
          <w:sz w:val="32"/>
          <w:szCs w:val="32"/>
          <w:lang w:val="en-US" w:eastAsia="zh-CN"/>
        </w:rPr>
        <w:t>1、组织领导机构</w:t>
      </w:r>
      <w:bookmarkEnd w:id="153"/>
      <w:bookmarkEnd w:id="154"/>
    </w:p>
    <w:p>
      <w:pPr>
        <w:widowControl w:val="0"/>
        <w:ind w:firstLine="640" w:firstLineChars="200"/>
        <w:rPr>
          <w:sz w:val="32"/>
          <w:szCs w:val="32"/>
          <w:highlight w:val="yellow"/>
        </w:rPr>
      </w:pPr>
      <w:bookmarkStart w:id="155" w:name="_Toc7378"/>
      <w:bookmarkStart w:id="156" w:name="_Toc6565"/>
      <w:r>
        <w:rPr>
          <w:rFonts w:hint="eastAsia"/>
          <w:sz w:val="32"/>
          <w:szCs w:val="32"/>
        </w:rPr>
        <w:t>由县扶贫</w:t>
      </w:r>
      <w:r>
        <w:rPr>
          <w:rFonts w:hint="eastAsia"/>
          <w:sz w:val="32"/>
          <w:szCs w:val="32"/>
          <w:lang w:val="en-US" w:eastAsia="zh-CN"/>
        </w:rPr>
        <w:t>开发领导小组</w:t>
      </w:r>
      <w:r>
        <w:rPr>
          <w:rFonts w:hint="eastAsia"/>
          <w:sz w:val="32"/>
          <w:szCs w:val="32"/>
        </w:rPr>
        <w:t>统筹规划，县</w:t>
      </w:r>
      <w:r>
        <w:rPr>
          <w:rFonts w:hint="eastAsia"/>
          <w:sz w:val="32"/>
          <w:szCs w:val="32"/>
          <w:lang w:val="en-US" w:eastAsia="zh-CN"/>
        </w:rPr>
        <w:t>扶贫办</w:t>
      </w:r>
      <w:r>
        <w:rPr>
          <w:rFonts w:hint="eastAsia"/>
          <w:sz w:val="32"/>
          <w:szCs w:val="32"/>
        </w:rPr>
        <w:t>主管，乡政府负责实施项目，项目所在村队派专人现场监督，明确职责分工，统一协调解决项目实施过程中出现的各类问题，确保项目的顺利实施。</w:t>
      </w:r>
    </w:p>
    <w:p>
      <w:pPr>
        <w:pStyle w:val="4"/>
        <w:bidi w:val="0"/>
        <w:rPr>
          <w:rFonts w:hint="eastAsia" w:ascii="宋体" w:hAnsi="宋体" w:eastAsia="宋体" w:cs="宋体"/>
          <w:sz w:val="32"/>
          <w:szCs w:val="32"/>
        </w:rPr>
      </w:pPr>
      <w:r>
        <w:rPr>
          <w:rFonts w:hint="eastAsia" w:ascii="宋体" w:hAnsi="宋体" w:eastAsia="宋体" w:cs="宋体"/>
          <w:sz w:val="32"/>
          <w:szCs w:val="32"/>
          <w:lang w:val="en-US" w:eastAsia="zh-CN"/>
        </w:rPr>
        <w:t>2、</w:t>
      </w:r>
      <w:r>
        <w:rPr>
          <w:rFonts w:hint="eastAsia" w:ascii="宋体" w:hAnsi="宋体" w:eastAsia="宋体" w:cs="宋体"/>
          <w:sz w:val="32"/>
          <w:szCs w:val="32"/>
        </w:rPr>
        <w:t>技术保障措施</w:t>
      </w:r>
      <w:bookmarkEnd w:id="155"/>
      <w:bookmarkEnd w:id="156"/>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施工组织设计必须含有针对性的安全技术措施，针对工程特点、施工工艺、 作业条件以及施工人员等情况制定明确具体的防护措施和安全作业注意事项。对危险 性较大的分部分项工程，应单独编制安全专项施工方案。专项施工方案应包括以下内容： </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1</w:t>
      </w:r>
      <w:r>
        <w:rPr>
          <w:rFonts w:hint="eastAsia" w:ascii="宋体" w:hAnsi="宋体" w:eastAsia="宋体" w:cs="宋体"/>
          <w:sz w:val="32"/>
          <w:szCs w:val="32"/>
          <w:highlight w:val="none"/>
          <w:lang w:eastAsia="zh-CN"/>
        </w:rPr>
        <w:t>） 工程概况：分部分项工程概况、施工平面布置、施工要求和技术保证；  </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2</w:t>
      </w:r>
      <w:r>
        <w:rPr>
          <w:rFonts w:hint="eastAsia" w:ascii="宋体" w:hAnsi="宋体" w:eastAsia="宋体" w:cs="宋体"/>
          <w:sz w:val="32"/>
          <w:szCs w:val="32"/>
          <w:highlight w:val="none"/>
          <w:lang w:eastAsia="zh-CN"/>
        </w:rPr>
        <w:t>） 编制依据：相关法律、法规、规范性文件、标准、规范及图纸、施工组 织设计等； </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3</w:t>
      </w:r>
      <w:r>
        <w:rPr>
          <w:rFonts w:hint="eastAsia" w:ascii="宋体" w:hAnsi="宋体" w:eastAsia="宋体" w:cs="宋体"/>
          <w:sz w:val="32"/>
          <w:szCs w:val="32"/>
          <w:highlight w:val="none"/>
          <w:lang w:eastAsia="zh-CN"/>
        </w:rPr>
        <w:t>） 施工计划：包括施工进度计划、材料与设备计划；</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4</w:t>
      </w:r>
      <w:r>
        <w:rPr>
          <w:rFonts w:hint="eastAsia" w:ascii="宋体" w:hAnsi="宋体" w:eastAsia="宋体" w:cs="宋体"/>
          <w:sz w:val="32"/>
          <w:szCs w:val="32"/>
          <w:highlight w:val="none"/>
          <w:lang w:eastAsia="zh-CN"/>
        </w:rPr>
        <w:t>） 施工工艺技术：技术参数、工艺流程、施工方法、检</w:t>
      </w:r>
      <w:r>
        <w:rPr>
          <w:rFonts w:hint="eastAsia" w:ascii="宋体" w:hAnsi="宋体" w:eastAsia="宋体" w:cs="宋体"/>
          <w:sz w:val="32"/>
          <w:szCs w:val="32"/>
          <w:highlight w:val="none"/>
          <w:lang w:val="en-US" w:eastAsia="zh-CN"/>
        </w:rPr>
        <w:t>查</w:t>
      </w:r>
      <w:r>
        <w:rPr>
          <w:rFonts w:hint="eastAsia" w:ascii="宋体" w:hAnsi="宋体" w:eastAsia="宋体" w:cs="宋体"/>
          <w:sz w:val="32"/>
          <w:szCs w:val="32"/>
          <w:highlight w:val="none"/>
          <w:lang w:eastAsia="zh-CN"/>
        </w:rPr>
        <w:t>验收等；  </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lang w:eastAsia="zh-CN"/>
        </w:rPr>
        <w:t>）施工安全保证措施：组织保障、风险分析、技术措施、应急预案、监测监控等；</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6</w:t>
      </w:r>
      <w:r>
        <w:rPr>
          <w:rFonts w:hint="eastAsia" w:ascii="宋体" w:hAnsi="宋体" w:eastAsia="宋体" w:cs="宋体"/>
          <w:sz w:val="32"/>
          <w:szCs w:val="32"/>
          <w:highlight w:val="none"/>
          <w:lang w:eastAsia="zh-CN"/>
        </w:rPr>
        <w:t>）劳动力计划：专职安全生产管理人员、特种作业人员等；</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7</w:t>
      </w:r>
      <w:r>
        <w:rPr>
          <w:rFonts w:hint="eastAsia" w:ascii="宋体" w:hAnsi="宋体" w:eastAsia="宋体" w:cs="宋体"/>
          <w:sz w:val="32"/>
          <w:szCs w:val="32"/>
          <w:highlight w:val="none"/>
          <w:lang w:eastAsia="zh-CN"/>
        </w:rPr>
        <w:t>）计算书； </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lang w:eastAsia="zh-CN"/>
        </w:rPr>
        <w:t> </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8</w:t>
      </w:r>
      <w:r>
        <w:rPr>
          <w:rFonts w:hint="eastAsia" w:ascii="宋体" w:hAnsi="宋体" w:eastAsia="宋体" w:cs="宋体"/>
          <w:sz w:val="32"/>
          <w:szCs w:val="32"/>
          <w:highlight w:val="none"/>
          <w:lang w:eastAsia="zh-CN"/>
        </w:rPr>
        <w:t>）施工图及节点图； </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9</w:t>
      </w:r>
      <w:r>
        <w:rPr>
          <w:rFonts w:hint="eastAsia" w:ascii="宋体" w:hAnsi="宋体" w:eastAsia="宋体" w:cs="宋体"/>
          <w:sz w:val="32"/>
          <w:szCs w:val="32"/>
          <w:highlight w:val="none"/>
          <w:lang w:eastAsia="zh-CN"/>
        </w:rPr>
        <w:t>）专项施工方案由公司技术部门组织工程项目施工技术、安全、质量等部门的专业技术人员进行审核。经审核合格后，由公司总工程师签字。超过一定规模的危 险性较大的分部分项工程专项方案应当由项目部组织召开专家论证会，专家应从专家库中挑选；</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10</w:t>
      </w:r>
      <w:r>
        <w:rPr>
          <w:rFonts w:hint="eastAsia" w:ascii="宋体" w:hAnsi="宋体" w:eastAsia="宋体" w:cs="宋体"/>
          <w:sz w:val="32"/>
          <w:szCs w:val="32"/>
          <w:highlight w:val="none"/>
          <w:lang w:eastAsia="zh-CN"/>
        </w:rPr>
        <w:t>）由公司审批的施工组织设计、专项施工方案范围及程序参照技术部相关管理制度；</w:t>
      </w:r>
    </w:p>
    <w:p>
      <w:pPr>
        <w:widowControl w:val="0"/>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11</w:t>
      </w:r>
      <w:r>
        <w:rPr>
          <w:rFonts w:hint="eastAsia" w:ascii="宋体" w:hAnsi="宋体" w:eastAsia="宋体" w:cs="宋体"/>
          <w:sz w:val="32"/>
          <w:szCs w:val="32"/>
          <w:highlight w:val="none"/>
          <w:lang w:eastAsia="zh-CN"/>
        </w:rPr>
        <w:t>） 危险性较大的分部分项工程和超过一定规模的安全专项施工方案目录及 编制要求参照技术部相关管理制度； </w:t>
      </w:r>
    </w:p>
    <w:p>
      <w:pPr>
        <w:widowControl w:val="0"/>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12</w:t>
      </w:r>
      <w:r>
        <w:rPr>
          <w:rFonts w:hint="eastAsia" w:ascii="宋体" w:hAnsi="宋体" w:eastAsia="宋体" w:cs="宋体"/>
          <w:sz w:val="32"/>
          <w:szCs w:val="32"/>
          <w:highlight w:val="none"/>
          <w:lang w:eastAsia="zh-CN"/>
        </w:rPr>
        <w:t>） 经批准的施工组织设计、专项施工方案、安全技术方案（措施），不得随意变更修改。确因客观原因需要修改时，应重新履行原审核、审批的程序。专项施工方案经专家论证需做重大修改的，应当按照论证报告修改，并组织专家进行论证。</w:t>
      </w:r>
    </w:p>
    <w:p>
      <w:pPr>
        <w:pStyle w:val="4"/>
        <w:bidi w:val="0"/>
        <w:rPr>
          <w:rFonts w:hint="eastAsia" w:ascii="宋体" w:hAnsi="宋体" w:eastAsia="宋体" w:cs="宋体"/>
          <w:sz w:val="32"/>
          <w:szCs w:val="32"/>
        </w:rPr>
      </w:pPr>
      <w:bookmarkStart w:id="157" w:name="_Toc21975"/>
      <w:bookmarkStart w:id="158" w:name="_Toc27849"/>
      <w:r>
        <w:rPr>
          <w:rFonts w:hint="eastAsia" w:ascii="宋体" w:hAnsi="宋体" w:eastAsia="宋体" w:cs="宋体"/>
          <w:sz w:val="32"/>
          <w:szCs w:val="32"/>
          <w:lang w:val="en-US" w:eastAsia="zh-CN"/>
        </w:rPr>
        <w:t>3、</w:t>
      </w:r>
      <w:r>
        <w:rPr>
          <w:rFonts w:hint="eastAsia" w:ascii="宋体" w:hAnsi="宋体" w:eastAsia="宋体" w:cs="宋体"/>
          <w:sz w:val="32"/>
          <w:szCs w:val="32"/>
        </w:rPr>
        <w:t>项目管理、监督检查制度</w:t>
      </w:r>
      <w:bookmarkEnd w:id="157"/>
      <w:bookmarkEnd w:id="158"/>
    </w:p>
    <w:p>
      <w:pPr>
        <w:widowControl w:val="0"/>
        <w:ind w:firstLine="640" w:firstLineChars="200"/>
        <w:rPr>
          <w:rFonts w:hint="default" w:ascii="宋体" w:hAnsi="宋体" w:eastAsia="宋体" w:cs="宋体"/>
          <w:sz w:val="32"/>
          <w:szCs w:val="32"/>
          <w:highlight w:val="yellow"/>
          <w:lang w:val="en-US" w:eastAsia="zh-CN"/>
        </w:rPr>
      </w:pP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根据《新疆维吾尔自治区财政专项扶贫资金（扶贫发展项目管理办法（暂行的通知》（新扶贫领字〔2017〕39号第二章第九条规定：县级扶贫开发领导小组是扶贫资金和项目管理的第一责任主体，组长是第一责任人，全面负责扶贫资金和项目管理、绩效评价、监督检查等各项工作。为保质保量按时完成该项目，需实行目标管理责任制，明确领导小组各成员的职责，全面推行项目建设责任制、项目法人责任制，建立健全扶贫资产公开公示、定期巡查、绩效考核、结果反馈等检查机制，对项目经营运行、收益分配、后期管护等环节进行全程监督，保障扶贫资产安全有效。</w:t>
      </w:r>
      <w:r>
        <w:rPr>
          <w:rFonts w:hint="eastAsia" w:ascii="宋体" w:hAnsi="宋体" w:cs="宋体"/>
          <w:sz w:val="32"/>
          <w:szCs w:val="32"/>
          <w:highlight w:val="none"/>
          <w:lang w:val="en-US" w:eastAsia="zh-CN"/>
        </w:rPr>
        <w:t xml:space="preserve"> </w:t>
      </w:r>
    </w:p>
    <w:p>
      <w:pPr>
        <w:pStyle w:val="4"/>
        <w:bidi w:val="0"/>
        <w:rPr>
          <w:rFonts w:hint="eastAsia" w:ascii="宋体" w:hAnsi="宋体" w:eastAsia="宋体" w:cs="宋体"/>
          <w:sz w:val="32"/>
          <w:szCs w:val="32"/>
        </w:rPr>
      </w:pPr>
      <w:r>
        <w:rPr>
          <w:rFonts w:hint="eastAsia" w:ascii="宋体" w:hAnsi="宋体" w:eastAsia="宋体" w:cs="宋体"/>
          <w:sz w:val="32"/>
          <w:szCs w:val="32"/>
        </w:rPr>
        <w:t xml:space="preserve"> </w:t>
      </w:r>
      <w:bookmarkStart w:id="159" w:name="_Toc17664"/>
      <w:bookmarkStart w:id="160" w:name="_Toc15744"/>
      <w:r>
        <w:rPr>
          <w:rFonts w:hint="eastAsia" w:ascii="宋体" w:hAnsi="宋体" w:eastAsia="宋体" w:cs="宋体"/>
          <w:sz w:val="32"/>
          <w:szCs w:val="32"/>
          <w:lang w:val="en-US" w:eastAsia="zh-CN"/>
        </w:rPr>
        <w:t>4、</w:t>
      </w:r>
      <w:r>
        <w:rPr>
          <w:rFonts w:hint="eastAsia" w:ascii="宋体" w:hAnsi="宋体" w:eastAsia="宋体" w:cs="宋体"/>
          <w:sz w:val="32"/>
          <w:szCs w:val="32"/>
        </w:rPr>
        <w:t>验收管理</w:t>
      </w:r>
      <w:bookmarkEnd w:id="159"/>
      <w:bookmarkEnd w:id="160"/>
    </w:p>
    <w:p>
      <w:pPr>
        <w:widowControl w:val="0"/>
        <w:rPr>
          <w:rFonts w:hint="eastAsia" w:ascii="宋体" w:hAnsi="宋体" w:eastAsia="宋体" w:cs="宋体"/>
          <w:sz w:val="32"/>
          <w:szCs w:val="32"/>
          <w:lang w:val="en-US" w:eastAsia="zh-CN"/>
        </w:rPr>
      </w:pP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Calibri" w:hAnsi="Calibri" w:eastAsia="宋体" w:cs="Times New Roman"/>
          <w:sz w:val="32"/>
          <w:szCs w:val="32"/>
          <w:highlight w:val="none"/>
        </w:rPr>
        <w:t>根据《新疆维吾尔自治区财政专项扶贫资金（扶贫发展项目管理办法（暂行的通知》（新扶贫领字〔2017〕39号等相关文件要求，坚持项目竣工验收制度，遵照属地管理、“谁审批、谁验收”的原则。</w:t>
      </w:r>
      <w:r>
        <w:rPr>
          <w:rFonts w:hint="eastAsia" w:cs="Times New Roman"/>
          <w:sz w:val="32"/>
          <w:szCs w:val="32"/>
          <w:highlight w:val="none"/>
          <w:lang w:val="en-US" w:eastAsia="zh-CN"/>
        </w:rPr>
        <w:t>按照施工、监理单位上报验收申请，乡政府组织自查验收，验收合格后乡政府申请县级单位进行项目最终竣工验收。验收单由乡政府入档保存。</w:t>
      </w:r>
    </w:p>
    <w:p>
      <w:pPr>
        <w:pStyle w:val="4"/>
        <w:bidi w:val="0"/>
        <w:rPr>
          <w:rFonts w:hint="eastAsia" w:ascii="宋体" w:hAnsi="宋体" w:eastAsia="宋体" w:cs="宋体"/>
          <w:sz w:val="32"/>
          <w:szCs w:val="32"/>
        </w:rPr>
      </w:pPr>
      <w:bookmarkStart w:id="161" w:name="_Toc30522"/>
      <w:bookmarkStart w:id="162" w:name="_Toc31096"/>
      <w:r>
        <w:rPr>
          <w:rFonts w:hint="eastAsia" w:ascii="宋体" w:hAnsi="宋体" w:eastAsia="宋体" w:cs="宋体"/>
          <w:sz w:val="32"/>
          <w:szCs w:val="32"/>
          <w:lang w:val="en-US" w:eastAsia="zh-CN"/>
        </w:rPr>
        <w:t>5、</w:t>
      </w:r>
      <w:r>
        <w:rPr>
          <w:rFonts w:hint="eastAsia" w:ascii="宋体" w:hAnsi="宋体" w:eastAsia="宋体" w:cs="宋体"/>
          <w:sz w:val="32"/>
          <w:szCs w:val="32"/>
        </w:rPr>
        <w:t>运营模式和运营管理</w:t>
      </w:r>
      <w:bookmarkEnd w:id="161"/>
      <w:bookmarkEnd w:id="162"/>
    </w:p>
    <w:p>
      <w:pPr>
        <w:widowControl w:val="0"/>
        <w:ind w:firstLine="640" w:firstLineChars="200"/>
        <w:rPr>
          <w:rFonts w:hint="eastAsia" w:ascii="宋体" w:hAnsi="宋体" w:eastAsia="宋体" w:cs="宋体"/>
          <w:sz w:val="32"/>
          <w:szCs w:val="32"/>
        </w:rPr>
      </w:pPr>
      <w:r>
        <w:rPr>
          <w:rFonts w:hint="eastAsia" w:ascii="宋体" w:hAnsi="宋体" w:cs="宋体"/>
          <w:sz w:val="32"/>
          <w:szCs w:val="32"/>
          <w:highlight w:val="none"/>
          <w:lang w:val="en-US" w:eastAsia="zh-CN"/>
        </w:rPr>
        <w:t>该项目为</w:t>
      </w:r>
      <w:r>
        <w:rPr>
          <w:rFonts w:hint="eastAsia" w:ascii="宋体" w:hAnsi="宋体" w:eastAsia="宋体" w:cs="宋体"/>
          <w:sz w:val="32"/>
          <w:szCs w:val="32"/>
          <w:highlight w:val="none"/>
        </w:rPr>
        <w:t>资产收益类</w:t>
      </w:r>
      <w:r>
        <w:rPr>
          <w:rFonts w:hint="eastAsia" w:ascii="宋体" w:hAnsi="宋体" w:cs="宋体"/>
          <w:sz w:val="32"/>
          <w:szCs w:val="32"/>
          <w:highlight w:val="none"/>
          <w:lang w:val="en-US" w:eastAsia="zh-CN"/>
        </w:rPr>
        <w:t>项目，项目建成后由乡政府移交给所在村队负责管理维护，村队建立好资产管理情况台账，乡政府定期检查，</w:t>
      </w:r>
      <w:r>
        <w:rPr>
          <w:rFonts w:hint="eastAsia" w:ascii="宋体" w:hAnsi="宋体" w:eastAsia="宋体" w:cs="宋体"/>
          <w:sz w:val="32"/>
          <w:szCs w:val="32"/>
          <w:highlight w:val="none"/>
        </w:rPr>
        <w:t>根据新扶贫领发（2019）30号文件要求</w:t>
      </w:r>
      <w:r>
        <w:rPr>
          <w:rFonts w:hint="eastAsia" w:ascii="宋体" w:hAnsi="宋体" w:cs="宋体"/>
          <w:sz w:val="32"/>
          <w:szCs w:val="32"/>
          <w:highlight w:val="none"/>
          <w:lang w:val="en-US" w:eastAsia="zh-CN"/>
        </w:rPr>
        <w:t>，每年资产收益可达到6.4万元，收益归村集体所有，主要用于村集体房屋维修、公共设施维护、环境整治、公益性岗位工资、发放福利、村队组织学习、文化活动等方面，移交项目同时做好风险防控制度，需要有相关资质的第三方单位进行资产评估，确立好具体风险防控细则，保证资产安全</w:t>
      </w:r>
      <w:r>
        <w:rPr>
          <w:rFonts w:hint="eastAsia" w:ascii="宋体" w:hAnsi="宋体" w:eastAsia="宋体" w:cs="宋体"/>
          <w:sz w:val="32"/>
          <w:szCs w:val="32"/>
        </w:rPr>
        <w:t>。</w:t>
      </w:r>
    </w:p>
    <w:p>
      <w:pPr>
        <w:pStyle w:val="4"/>
        <w:numPr>
          <w:ilvl w:val="0"/>
          <w:numId w:val="3"/>
        </w:numPr>
        <w:bidi w:val="0"/>
        <w:rPr>
          <w:rFonts w:hint="eastAsia" w:ascii="宋体" w:hAnsi="宋体" w:eastAsia="宋体" w:cs="宋体"/>
          <w:sz w:val="32"/>
          <w:szCs w:val="32"/>
        </w:rPr>
      </w:pPr>
      <w:bookmarkStart w:id="163" w:name="_Toc11110"/>
      <w:bookmarkStart w:id="164" w:name="_Toc24731"/>
      <w:r>
        <w:rPr>
          <w:rFonts w:hint="eastAsia" w:ascii="宋体" w:hAnsi="宋体" w:eastAsia="宋体" w:cs="宋体"/>
          <w:sz w:val="32"/>
          <w:szCs w:val="32"/>
        </w:rPr>
        <w:t>带贫减贫益贫机制</w:t>
      </w:r>
      <w:bookmarkEnd w:id="163"/>
      <w:bookmarkEnd w:id="164"/>
    </w:p>
    <w:p>
      <w:pPr>
        <w:widowControl w:val="0"/>
        <w:rPr>
          <w:rFonts w:hint="eastAsia" w:ascii="Calibri" w:hAnsi="Calibri" w:eastAsia="宋体" w:cs="Times New Roman"/>
          <w:sz w:val="32"/>
          <w:szCs w:val="32"/>
          <w:highlight w:val="yellow"/>
          <w:lang w:eastAsia="zh-CN"/>
        </w:rPr>
      </w:pPr>
      <w:r>
        <w:rPr>
          <w:rFonts w:hint="eastAsia" w:ascii="宋体" w:hAnsi="宋体" w:cs="宋体"/>
          <w:sz w:val="32"/>
          <w:szCs w:val="32"/>
          <w:highlight w:val="none"/>
          <w:lang w:val="en-US" w:eastAsia="zh-CN"/>
        </w:rPr>
        <w:t>该项目建成后，直接就业2人或以上，人均增收1万元以上，年收益35%用于工资支付，70%用于村集体分配，资产收益预计6.4万元左右，工资2.24万元左右，村集体可分配资金4.16万元左右。</w:t>
      </w:r>
    </w:p>
    <w:bookmarkEnd w:id="142"/>
    <w:bookmarkEnd w:id="143"/>
    <w:bookmarkEnd w:id="144"/>
    <w:bookmarkEnd w:id="145"/>
    <w:bookmarkEnd w:id="146"/>
    <w:bookmarkEnd w:id="147"/>
    <w:bookmarkEnd w:id="148"/>
    <w:bookmarkEnd w:id="149"/>
    <w:bookmarkEnd w:id="150"/>
    <w:bookmarkEnd w:id="151"/>
    <w:bookmarkEnd w:id="152"/>
    <w:p>
      <w:pPr>
        <w:pStyle w:val="3"/>
        <w:bidi w:val="0"/>
        <w:jc w:val="center"/>
        <w:rPr>
          <w:rFonts w:hint="eastAsia" w:ascii="宋体" w:hAnsi="宋体" w:eastAsia="宋体" w:cs="宋体"/>
          <w:sz w:val="32"/>
          <w:szCs w:val="32"/>
          <w:lang w:val="en-US" w:eastAsia="zh-CN"/>
        </w:rPr>
      </w:pPr>
      <w:bookmarkStart w:id="165" w:name="_Toc21390"/>
      <w:bookmarkStart w:id="166" w:name="_Toc26302"/>
      <w:r>
        <w:rPr>
          <w:rFonts w:hint="eastAsia"/>
          <w:lang w:eastAsia="zh-CN"/>
        </w:rPr>
        <w:t>六、</w:t>
      </w:r>
      <w:r>
        <w:rPr>
          <w:rFonts w:hint="eastAsia"/>
        </w:rPr>
        <w:t>项目实施进度</w:t>
      </w:r>
      <w:bookmarkEnd w:id="165"/>
      <w:bookmarkEnd w:id="166"/>
    </w:p>
    <w:p>
      <w:pPr>
        <w:widowControl w:val="0"/>
        <w:spacing w:line="360" w:lineRule="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1.项目前期工作和工程实施准备</w:t>
      </w:r>
    </w:p>
    <w:p>
      <w:pPr>
        <w:widowControl w:val="0"/>
        <w:spacing w:line="360" w:lineRule="auto"/>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项目可行性研究报告的编制和审批、初步设计和施工图设计及审批等，同期开展项目的资金筹措，工程招标及工程实施准备工作，项目建设期为4个月。</w:t>
      </w:r>
    </w:p>
    <w:p>
      <w:pPr>
        <w:widowControl w:val="0"/>
        <w:spacing w:line="360" w:lineRule="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2.工程建设</w:t>
      </w:r>
    </w:p>
    <w:p>
      <w:pPr>
        <w:widowControl w:val="0"/>
        <w:spacing w:line="360" w:lineRule="auto"/>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平整场地、基础设施施工、道路施工直至竣工验收工期估算为4个月：准备及平整场地工期为1个月；基础设施施工工期为3个月；各阶段之间互相交叉，确保本阶段工程的建设工期在4个月内完成，投入正式运营。（项目建设阶段实施进度详见下表</w:t>
      </w:r>
    </w:p>
    <w:p>
      <w:pPr>
        <w:widowControl w:val="0"/>
        <w:spacing w:line="360" w:lineRule="auto"/>
        <w:ind w:firstLine="3200" w:firstLineChars="10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 xml:space="preserve">项目建设进度计划表       </w:t>
      </w:r>
    </w:p>
    <w:tbl>
      <w:tblPr>
        <w:tblStyle w:val="31"/>
        <w:tblpPr w:leftFromText="180" w:rightFromText="180" w:vertAnchor="text" w:horzAnchor="page" w:tblpX="1900" w:tblpY="629"/>
        <w:tblOverlap w:val="never"/>
        <w:tblW w:w="8664" w:type="dxa"/>
        <w:tblInd w:w="0" w:type="dxa"/>
        <w:tblLayout w:type="fixed"/>
        <w:tblCellMar>
          <w:top w:w="0" w:type="dxa"/>
          <w:left w:w="108" w:type="dxa"/>
          <w:bottom w:w="0" w:type="dxa"/>
          <w:right w:w="108" w:type="dxa"/>
        </w:tblCellMar>
      </w:tblPr>
      <w:tblGrid>
        <w:gridCol w:w="885"/>
        <w:gridCol w:w="1706"/>
        <w:gridCol w:w="4434"/>
        <w:gridCol w:w="1639"/>
      </w:tblGrid>
      <w:tr>
        <w:tblPrEx>
          <w:tblLayout w:type="fixed"/>
          <w:tblCellMar>
            <w:top w:w="0" w:type="dxa"/>
            <w:left w:w="108" w:type="dxa"/>
            <w:bottom w:w="0" w:type="dxa"/>
            <w:right w:w="108" w:type="dxa"/>
          </w:tblCellMar>
        </w:tblPrEx>
        <w:trPr>
          <w:trHeight w:val="718" w:hRule="atLeast"/>
        </w:trPr>
        <w:tc>
          <w:tcPr>
            <w:tcW w:w="885"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编号</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工程名称</w:t>
            </w:r>
          </w:p>
        </w:tc>
        <w:tc>
          <w:tcPr>
            <w:tcW w:w="4434"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工作内容</w:t>
            </w:r>
          </w:p>
        </w:tc>
        <w:tc>
          <w:tcPr>
            <w:tcW w:w="1639"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实施时间</w:t>
            </w:r>
          </w:p>
        </w:tc>
      </w:tr>
      <w:tr>
        <w:tblPrEx>
          <w:tblLayout w:type="fixed"/>
          <w:tblCellMar>
            <w:top w:w="0" w:type="dxa"/>
            <w:left w:w="108" w:type="dxa"/>
            <w:bottom w:w="0" w:type="dxa"/>
            <w:right w:w="108" w:type="dxa"/>
          </w:tblCellMar>
        </w:tblPrEx>
        <w:trPr>
          <w:trHeight w:val="746" w:hRule="atLeast"/>
        </w:trPr>
        <w:tc>
          <w:tcPr>
            <w:tcW w:w="885"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前期工作</w:t>
            </w:r>
          </w:p>
        </w:tc>
        <w:tc>
          <w:tcPr>
            <w:tcW w:w="4434"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可研编制、勘测设计、审批立项、落实资金、工程招标等</w:t>
            </w:r>
          </w:p>
        </w:tc>
        <w:tc>
          <w:tcPr>
            <w:tcW w:w="1639"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1个月</w:t>
            </w:r>
          </w:p>
        </w:tc>
      </w:tr>
      <w:tr>
        <w:tblPrEx>
          <w:tblLayout w:type="fixed"/>
          <w:tblCellMar>
            <w:top w:w="0" w:type="dxa"/>
            <w:left w:w="108" w:type="dxa"/>
            <w:bottom w:w="0" w:type="dxa"/>
            <w:right w:w="108" w:type="dxa"/>
          </w:tblCellMar>
        </w:tblPrEx>
        <w:trPr>
          <w:trHeight w:val="713" w:hRule="atLeast"/>
        </w:trPr>
        <w:tc>
          <w:tcPr>
            <w:tcW w:w="885"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基础设施工程</w:t>
            </w:r>
          </w:p>
        </w:tc>
        <w:tc>
          <w:tcPr>
            <w:tcW w:w="4434"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场地平整、基础设施、道路施工等</w:t>
            </w:r>
          </w:p>
        </w:tc>
        <w:tc>
          <w:tcPr>
            <w:tcW w:w="1639" w:type="dxa"/>
            <w:tcBorders>
              <w:top w:val="single" w:color="000000" w:sz="4" w:space="0"/>
              <w:left w:val="single" w:color="000000" w:sz="4" w:space="0"/>
              <w:bottom w:val="single" w:color="000000" w:sz="4" w:space="0"/>
              <w:right w:val="single" w:color="000000" w:sz="4" w:space="0"/>
            </w:tcBorders>
            <w:noWrap w:val="0"/>
            <w:vAlign w:val="center"/>
          </w:tcPr>
          <w:p>
            <w:pPr>
              <w:widowControl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4个月</w:t>
            </w:r>
          </w:p>
        </w:tc>
      </w:tr>
    </w:tbl>
    <w:p>
      <w:pPr>
        <w:pStyle w:val="4"/>
        <w:bidi w:val="0"/>
        <w:spacing w:line="360" w:lineRule="auto"/>
        <w:rPr>
          <w:rFonts w:hint="eastAsia" w:ascii="宋体" w:hAnsi="宋体" w:eastAsia="宋体" w:cs="宋体"/>
          <w:sz w:val="32"/>
          <w:szCs w:val="32"/>
        </w:rPr>
      </w:pPr>
      <w:bookmarkStart w:id="167" w:name="_Toc6168"/>
      <w:bookmarkStart w:id="168" w:name="_Toc26672"/>
      <w:r>
        <w:rPr>
          <w:rFonts w:hint="eastAsia" w:ascii="宋体" w:hAnsi="宋体" w:eastAsia="宋体" w:cs="宋体"/>
          <w:sz w:val="32"/>
          <w:szCs w:val="32"/>
          <w:lang w:val="en-US" w:eastAsia="zh-CN"/>
        </w:rPr>
        <w:t>2、</w:t>
      </w:r>
      <w:r>
        <w:rPr>
          <w:rFonts w:hint="eastAsia" w:ascii="宋体" w:hAnsi="宋体" w:eastAsia="宋体" w:cs="宋体"/>
          <w:sz w:val="32"/>
          <w:szCs w:val="32"/>
        </w:rPr>
        <w:t>招标方案</w:t>
      </w:r>
      <w:bookmarkEnd w:id="167"/>
      <w:bookmarkEnd w:id="168"/>
    </w:p>
    <w:p>
      <w:pPr>
        <w:widowControl w:val="0"/>
        <w:spacing w:line="360" w:lineRule="auto"/>
        <w:rPr>
          <w:rFonts w:hint="eastAsia" w:ascii="宋体" w:hAnsi="宋体" w:eastAsia="宋体" w:cs="宋体"/>
          <w:sz w:val="32"/>
          <w:szCs w:val="32"/>
          <w:lang w:val="en-US" w:eastAsia="zh-CN"/>
        </w:rPr>
      </w:pPr>
      <w:bookmarkStart w:id="169" w:name="_Toc28818740"/>
      <w:bookmarkStart w:id="170" w:name="_Toc28826329"/>
      <w:bookmarkStart w:id="171" w:name="_Toc60686195"/>
      <w:bookmarkStart w:id="172" w:name="_Toc10488"/>
      <w:bookmarkStart w:id="173" w:name="_Toc25521618"/>
      <w:bookmarkStart w:id="174" w:name="_Toc28190721"/>
      <w:bookmarkStart w:id="175" w:name="_Toc28826063"/>
      <w:r>
        <w:rPr>
          <w:rFonts w:hint="eastAsia" w:ascii="宋体" w:hAnsi="宋体" w:eastAsia="宋体" w:cs="宋体"/>
          <w:sz w:val="32"/>
          <w:szCs w:val="32"/>
          <w:lang w:val="en-US" w:eastAsia="zh-CN"/>
        </w:rPr>
        <w:t>（1）项目招标范围及招标组织形式</w:t>
      </w:r>
      <w:bookmarkEnd w:id="169"/>
      <w:bookmarkEnd w:id="170"/>
      <w:bookmarkEnd w:id="171"/>
      <w:bookmarkEnd w:id="172"/>
      <w:bookmarkEnd w:id="173"/>
      <w:bookmarkEnd w:id="174"/>
      <w:bookmarkEnd w:id="175"/>
    </w:p>
    <w:p>
      <w:pPr>
        <w:widowControl w:val="0"/>
        <w:spacing w:line="360" w:lineRule="auto"/>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本项目对以下建设项目主体工程的勘察设计、安装施工、过程监理。按照刚才建设程序，分阶段实施。</w:t>
      </w:r>
    </w:p>
    <w:p>
      <w:pPr>
        <w:widowControl w:val="0"/>
        <w:spacing w:line="360" w:lineRule="auto"/>
        <w:ind w:firstLine="640" w:firstLineChars="200"/>
        <w:rPr>
          <w:rFonts w:hint="eastAsia" w:ascii="宋体" w:hAnsi="宋体" w:eastAsia="宋体" w:cs="宋体"/>
          <w:sz w:val="32"/>
          <w:szCs w:val="32"/>
          <w:highlight w:val="yellow"/>
          <w:lang w:val="en-US" w:eastAsia="zh-CN"/>
        </w:rPr>
      </w:pPr>
      <w:r>
        <w:rPr>
          <w:rFonts w:hint="eastAsia" w:ascii="宋体" w:hAnsi="宋体" w:eastAsia="宋体" w:cs="宋体"/>
          <w:sz w:val="32"/>
          <w:szCs w:val="32"/>
          <w:highlight w:val="none"/>
          <w:lang w:val="en-US" w:eastAsia="zh-CN"/>
        </w:rPr>
        <w:t>设施建设项目依据《工程建设项目施工招标投标办法》（七部委30号令）第十一条规定，涉及国家安全、国家秘密或者抢险救灾，适宜招标但不宜公开招标的，可以邀请招标。</w:t>
      </w:r>
    </w:p>
    <w:p>
      <w:pPr>
        <w:widowControl w:val="0"/>
        <w:spacing w:line="360" w:lineRule="auto"/>
        <w:rPr>
          <w:rFonts w:hint="eastAsia" w:ascii="宋体" w:hAnsi="宋体" w:eastAsia="宋体" w:cs="宋体"/>
          <w:sz w:val="32"/>
          <w:szCs w:val="32"/>
          <w:lang w:val="en-US" w:eastAsia="zh-CN"/>
        </w:rPr>
      </w:pPr>
      <w:bookmarkStart w:id="176" w:name="_Toc496632587"/>
      <w:bookmarkEnd w:id="176"/>
      <w:bookmarkStart w:id="177" w:name="_Toc496466602"/>
      <w:bookmarkEnd w:id="177"/>
      <w:bookmarkStart w:id="178" w:name="_Toc153015790"/>
      <w:bookmarkEnd w:id="178"/>
      <w:bookmarkStart w:id="179" w:name="_Toc498597035"/>
      <w:bookmarkEnd w:id="179"/>
      <w:bookmarkStart w:id="180" w:name="_Toc251232552"/>
      <w:bookmarkEnd w:id="180"/>
      <w:bookmarkStart w:id="181" w:name="_Toc350253844"/>
      <w:bookmarkEnd w:id="181"/>
      <w:bookmarkStart w:id="182" w:name="_Toc479964768"/>
      <w:bookmarkEnd w:id="182"/>
      <w:bookmarkStart w:id="183" w:name="_Toc479964138"/>
      <w:bookmarkEnd w:id="183"/>
      <w:bookmarkStart w:id="184" w:name="_Toc498350088"/>
      <w:bookmarkEnd w:id="184"/>
      <w:bookmarkStart w:id="185" w:name="_Toc358198658"/>
      <w:bookmarkEnd w:id="185"/>
      <w:bookmarkStart w:id="186" w:name="_Toc477617454"/>
      <w:bookmarkEnd w:id="186"/>
      <w:bookmarkStart w:id="187" w:name="_Toc354502205"/>
      <w:bookmarkEnd w:id="187"/>
      <w:bookmarkStart w:id="188" w:name="_Toc498354249"/>
      <w:bookmarkEnd w:id="188"/>
      <w:bookmarkStart w:id="189" w:name="_Toc121304248"/>
      <w:bookmarkEnd w:id="189"/>
      <w:bookmarkStart w:id="190" w:name="_Toc365970508"/>
      <w:bookmarkEnd w:id="190"/>
      <w:bookmarkStart w:id="191" w:name="_Toc498455270"/>
      <w:bookmarkEnd w:id="191"/>
      <w:bookmarkStart w:id="192" w:name="_Toc365970778"/>
      <w:bookmarkEnd w:id="192"/>
      <w:bookmarkStart w:id="193" w:name="_Toc353923590"/>
      <w:bookmarkEnd w:id="193"/>
      <w:bookmarkStart w:id="194" w:name="_Toc480474525"/>
      <w:bookmarkEnd w:id="194"/>
      <w:bookmarkStart w:id="195" w:name="_Toc146708497"/>
      <w:bookmarkEnd w:id="195"/>
      <w:bookmarkStart w:id="196" w:name="_Toc497935647"/>
      <w:bookmarkEnd w:id="196"/>
      <w:bookmarkStart w:id="197" w:name="_Toc350253670"/>
      <w:bookmarkEnd w:id="197"/>
      <w:bookmarkStart w:id="198" w:name="_Toc358198451"/>
      <w:bookmarkEnd w:id="198"/>
      <w:bookmarkStart w:id="199" w:name="_Toc480540242"/>
      <w:bookmarkEnd w:id="199"/>
      <w:bookmarkStart w:id="200" w:name="_Toc477626561"/>
      <w:bookmarkEnd w:id="200"/>
      <w:bookmarkStart w:id="201" w:name="_Toc496549199"/>
      <w:bookmarkEnd w:id="201"/>
      <w:bookmarkStart w:id="202" w:name="_Toc498624904"/>
      <w:bookmarkEnd w:id="202"/>
      <w:bookmarkStart w:id="203" w:name="_Toc496463920"/>
      <w:bookmarkEnd w:id="203"/>
      <w:bookmarkStart w:id="204" w:name="_Toc23466868"/>
      <w:bookmarkEnd w:id="204"/>
      <w:bookmarkStart w:id="205" w:name="_Toc271643627"/>
      <w:bookmarkEnd w:id="205"/>
      <w:bookmarkStart w:id="206" w:name="_Toc410664231"/>
      <w:bookmarkEnd w:id="206"/>
      <w:bookmarkStart w:id="207" w:name="_Toc498508675"/>
      <w:bookmarkEnd w:id="207"/>
      <w:bookmarkStart w:id="208" w:name="_Toc251237060"/>
      <w:bookmarkEnd w:id="208"/>
      <w:bookmarkStart w:id="209" w:name="_Toc480472790"/>
      <w:bookmarkEnd w:id="209"/>
      <w:bookmarkStart w:id="210" w:name="_Toc477613670"/>
      <w:bookmarkEnd w:id="210"/>
      <w:bookmarkStart w:id="211" w:name="_Toc350255722"/>
      <w:bookmarkEnd w:id="211"/>
      <w:bookmarkStart w:id="212" w:name="_Toc358299459"/>
      <w:bookmarkEnd w:id="212"/>
      <w:bookmarkStart w:id="213" w:name="_Toc60686196"/>
      <w:bookmarkStart w:id="214" w:name="_Toc28818741"/>
      <w:bookmarkStart w:id="215" w:name="_Toc26927"/>
      <w:bookmarkStart w:id="216" w:name="_Toc25521619"/>
      <w:bookmarkStart w:id="217" w:name="_Toc28190722"/>
      <w:bookmarkStart w:id="218" w:name="_Toc28826064"/>
      <w:bookmarkStart w:id="219" w:name="_Toc28826330"/>
      <w:r>
        <w:rPr>
          <w:rFonts w:hint="eastAsia" w:ascii="宋体" w:hAnsi="宋体" w:eastAsia="宋体" w:cs="宋体"/>
          <w:sz w:val="32"/>
          <w:szCs w:val="32"/>
          <w:lang w:val="en-US" w:eastAsia="zh-CN"/>
        </w:rPr>
        <w:t>（2）招投标程序</w:t>
      </w:r>
      <w:bookmarkEnd w:id="213"/>
      <w:bookmarkEnd w:id="214"/>
      <w:bookmarkEnd w:id="215"/>
      <w:bookmarkEnd w:id="216"/>
      <w:bookmarkEnd w:id="217"/>
      <w:bookmarkEnd w:id="218"/>
      <w:bookmarkEnd w:id="219"/>
    </w:p>
    <w:p>
      <w:pPr>
        <w:widowControl w:val="0"/>
        <w:ind w:firstLine="640" w:firstLineChars="200"/>
        <w:rPr>
          <w:rFonts w:hint="eastAsia" w:ascii="Calibri" w:hAnsi="Calibri" w:eastAsia="宋体" w:cs="Times New Roman"/>
          <w:sz w:val="32"/>
          <w:szCs w:val="32"/>
          <w:lang w:val="en-US" w:eastAsia="zh-CN"/>
        </w:rPr>
      </w:pPr>
      <w:r>
        <w:rPr>
          <w:rFonts w:hint="eastAsia" w:ascii="Calibri" w:hAnsi="Calibri" w:eastAsia="宋体" w:cs="Times New Roman"/>
          <w:sz w:val="32"/>
          <w:szCs w:val="32"/>
          <w:lang w:val="en-US" w:eastAsia="zh-CN"/>
        </w:rPr>
        <w:t>根据《招标投标法》招标程序，结合本项目实际情况招标，具体程序如下：</w:t>
      </w:r>
    </w:p>
    <w:p>
      <w:pPr>
        <w:widowControl w:val="0"/>
        <w:ind w:firstLine="640" w:firstLineChars="200"/>
        <w:rPr>
          <w:rFonts w:hint="eastAsia" w:ascii="Calibri" w:hAnsi="Calibri" w:eastAsia="宋体" w:cs="Times New Roman"/>
          <w:sz w:val="32"/>
          <w:szCs w:val="32"/>
          <w:lang w:val="en-US" w:eastAsia="zh-CN"/>
        </w:rPr>
      </w:pPr>
      <w:r>
        <w:rPr>
          <w:rFonts w:hint="eastAsia" w:cs="Times New Roman"/>
          <w:sz w:val="32"/>
          <w:szCs w:val="32"/>
          <w:lang w:val="en-US" w:eastAsia="zh-CN"/>
        </w:rPr>
        <w:t>一是</w:t>
      </w:r>
      <w:r>
        <w:rPr>
          <w:rFonts w:hint="eastAsia" w:ascii="Calibri" w:hAnsi="Calibri" w:eastAsia="宋体" w:cs="Times New Roman"/>
          <w:sz w:val="32"/>
          <w:szCs w:val="32"/>
          <w:lang w:val="en-US" w:eastAsia="zh-CN"/>
        </w:rPr>
        <w:t>本项目按照国家有关规定先履行项目审批手续，取得批准后</w:t>
      </w:r>
      <w:r>
        <w:rPr>
          <w:rFonts w:hint="eastAsia" w:cs="Times New Roman"/>
          <w:sz w:val="32"/>
          <w:szCs w:val="32"/>
          <w:lang w:val="en-US" w:eastAsia="zh-CN"/>
        </w:rPr>
        <w:t>由</w:t>
      </w:r>
      <w:r>
        <w:rPr>
          <w:rFonts w:hint="eastAsia" w:cs="Times New Roman"/>
          <w:sz w:val="32"/>
          <w:szCs w:val="32"/>
          <w:highlight w:val="none"/>
          <w:lang w:val="en-US" w:eastAsia="zh-CN"/>
        </w:rPr>
        <w:t>乡政府自行招标</w:t>
      </w:r>
      <w:r>
        <w:rPr>
          <w:rFonts w:hint="eastAsia" w:ascii="Calibri" w:hAnsi="Calibri" w:eastAsia="宋体" w:cs="Times New Roman"/>
          <w:sz w:val="32"/>
          <w:szCs w:val="32"/>
          <w:highlight w:val="none"/>
          <w:lang w:val="en-US" w:eastAsia="zh-CN"/>
        </w:rPr>
        <w:t>。</w:t>
      </w:r>
      <w:r>
        <w:rPr>
          <w:rFonts w:hint="eastAsia" w:cs="Times New Roman"/>
          <w:sz w:val="32"/>
          <w:szCs w:val="32"/>
          <w:highlight w:val="none"/>
          <w:lang w:val="en-US" w:eastAsia="zh-CN"/>
        </w:rPr>
        <w:t>二是乡政府邀请施工企业参与招标</w:t>
      </w:r>
      <w:r>
        <w:rPr>
          <w:rFonts w:hint="eastAsia" w:ascii="Calibri" w:hAnsi="Calibri" w:eastAsia="宋体" w:cs="Times New Roman"/>
          <w:sz w:val="32"/>
          <w:szCs w:val="32"/>
          <w:highlight w:val="none"/>
          <w:lang w:val="en-US" w:eastAsia="zh-CN"/>
        </w:rPr>
        <w:t>。</w:t>
      </w:r>
      <w:r>
        <w:rPr>
          <w:rFonts w:hint="eastAsia" w:cs="Times New Roman"/>
          <w:sz w:val="32"/>
          <w:szCs w:val="32"/>
          <w:lang w:val="en-US" w:eastAsia="zh-CN"/>
        </w:rPr>
        <w:t>三是</w:t>
      </w:r>
      <w:r>
        <w:rPr>
          <w:rFonts w:hint="eastAsia" w:ascii="Calibri" w:hAnsi="Calibri" w:eastAsia="宋体" w:cs="Times New Roman"/>
          <w:sz w:val="32"/>
          <w:szCs w:val="32"/>
          <w:lang w:val="en-US" w:eastAsia="zh-CN"/>
        </w:rPr>
        <w:t>本项目的招标文件应当包括项目的技术要求、对投标人资格审查的标准，投标报告要求和评标标准等所有实质性要求和条件以及拟签订合同的主要条款。</w:t>
      </w:r>
    </w:p>
    <w:p>
      <w:pPr>
        <w:widowControl w:val="0"/>
        <w:ind w:firstLine="640" w:firstLineChars="200"/>
        <w:rPr>
          <w:rFonts w:hint="eastAsia" w:ascii="Calibri" w:hAnsi="Calibri" w:eastAsia="宋体" w:cs="Times New Roman"/>
          <w:sz w:val="32"/>
          <w:szCs w:val="32"/>
          <w:lang w:val="en-US" w:eastAsia="zh-CN"/>
        </w:rPr>
      </w:pPr>
      <w:r>
        <w:rPr>
          <w:rFonts w:hint="eastAsia" w:ascii="Calibri" w:hAnsi="Calibri" w:eastAsia="宋体" w:cs="Times New Roman"/>
          <w:sz w:val="32"/>
          <w:szCs w:val="32"/>
          <w:lang w:val="en-US" w:eastAsia="zh-CN"/>
        </w:rPr>
        <w:t>施工企业要求资质在市政三级以上，面向全疆及塔城地区公开选择投标人。本项目投标人应当具备承担招标项目的能力，并应按照招标文件的要求编制投标文件。投标文件的内容应当包括拟派出的项目负责人与主要技术人员的简历、业绩和用于完成招标项目的机构设备等；投标人应当在招标文件要求提交投标文件的截止时间前，将投标文件送达投标地点。公开招标的项目投标人不少于三个的，招标人应当依照本办法重新招标；投标人拟在中标后将中标项目进行分包的，应当在投标文件中载明；投标人不得相互串通投标报价，不得排挤其它投标人的公平竞争，不得损害招标人或其它投标人的合法权益；投标人不得以低于成本的报价投标，也不得以他人名义投标或者以其它方式弄虚作假、骗取中标。</w:t>
      </w:r>
    </w:p>
    <w:p>
      <w:pPr>
        <w:widowControl w:val="0"/>
        <w:rPr>
          <w:rFonts w:hint="eastAsia" w:ascii="Calibri" w:hAnsi="Calibri" w:eastAsia="宋体" w:cs="Times New Roman"/>
          <w:sz w:val="32"/>
          <w:szCs w:val="32"/>
          <w:lang w:val="en-US" w:eastAsia="zh-CN"/>
        </w:rPr>
      </w:pPr>
      <w:r>
        <w:rPr>
          <w:rFonts w:hint="eastAsia" w:ascii="Calibri" w:hAnsi="Calibri" w:eastAsia="宋体" w:cs="Times New Roman"/>
          <w:sz w:val="32"/>
          <w:szCs w:val="32"/>
          <w:lang w:val="en-US" w:eastAsia="zh-CN"/>
        </w:rPr>
        <w:t>（4）开标、评标和中标</w:t>
      </w:r>
    </w:p>
    <w:p>
      <w:pPr>
        <w:widowControl w:val="0"/>
        <w:ind w:firstLine="640" w:firstLineChars="200"/>
        <w:rPr>
          <w:rFonts w:hint="eastAsia" w:ascii="Calibri" w:hAnsi="Calibri" w:eastAsia="宋体" w:cs="Times New Roman"/>
          <w:sz w:val="32"/>
          <w:szCs w:val="32"/>
          <w:lang w:val="en-US" w:eastAsia="zh-CN"/>
        </w:rPr>
      </w:pPr>
      <w:r>
        <w:rPr>
          <w:rFonts w:hint="eastAsia" w:ascii="Calibri" w:hAnsi="Calibri" w:eastAsia="宋体" w:cs="Times New Roman"/>
          <w:sz w:val="32"/>
          <w:szCs w:val="32"/>
          <w:lang w:val="en-US" w:eastAsia="zh-CN"/>
        </w:rPr>
        <w:t>开标由</w:t>
      </w:r>
      <w:r>
        <w:rPr>
          <w:rFonts w:hint="eastAsia" w:cs="Times New Roman"/>
          <w:sz w:val="32"/>
          <w:szCs w:val="32"/>
          <w:lang w:val="en-US" w:eastAsia="zh-CN"/>
        </w:rPr>
        <w:t>乡政府</w:t>
      </w:r>
      <w:r>
        <w:rPr>
          <w:rFonts w:hint="eastAsia" w:ascii="Calibri" w:hAnsi="Calibri" w:eastAsia="宋体" w:cs="Times New Roman"/>
          <w:sz w:val="32"/>
          <w:szCs w:val="32"/>
          <w:lang w:val="en-US" w:eastAsia="zh-CN"/>
        </w:rPr>
        <w:t>主持，建设单位参加，在招标文件确定的提交投标文件截止时间的同一时间，招标文件中预先确定的地点，邀请所有投标人参加</w:t>
      </w:r>
      <w:r>
        <w:rPr>
          <w:rFonts w:hint="eastAsia" w:cs="Times New Roman"/>
          <w:sz w:val="32"/>
          <w:szCs w:val="32"/>
          <w:lang w:val="en-US" w:eastAsia="zh-CN"/>
        </w:rPr>
        <w:t>。</w:t>
      </w:r>
      <w:r>
        <w:rPr>
          <w:rFonts w:hint="eastAsia" w:ascii="Calibri" w:hAnsi="Calibri" w:eastAsia="宋体" w:cs="Times New Roman"/>
          <w:sz w:val="32"/>
          <w:szCs w:val="32"/>
          <w:lang w:val="en-US" w:eastAsia="zh-CN"/>
        </w:rPr>
        <w:t>中标人确定后，招标人应向其发出中标通知书，并同时将中标结果通知所有未中标投标人。自中标通知发出三十日内，招标人和中标人应按招标文凭投标文件订立书面合同。</w:t>
      </w:r>
    </w:p>
    <w:tbl>
      <w:tblPr>
        <w:tblStyle w:val="31"/>
        <w:tblpPr w:leftFromText="180" w:rightFromText="180" w:vertAnchor="text" w:horzAnchor="page" w:tblpX="1020" w:tblpY="2025"/>
        <w:tblOverlap w:val="never"/>
        <w:tblW w:w="9952" w:type="dxa"/>
        <w:tblInd w:w="0" w:type="dxa"/>
        <w:tblLayout w:type="fixed"/>
        <w:tblCellMar>
          <w:top w:w="0" w:type="dxa"/>
          <w:left w:w="108" w:type="dxa"/>
          <w:bottom w:w="0" w:type="dxa"/>
          <w:right w:w="108" w:type="dxa"/>
        </w:tblCellMar>
      </w:tblPr>
      <w:tblGrid>
        <w:gridCol w:w="1313"/>
        <w:gridCol w:w="954"/>
        <w:gridCol w:w="882"/>
        <w:gridCol w:w="956"/>
        <w:gridCol w:w="976"/>
        <w:gridCol w:w="958"/>
        <w:gridCol w:w="964"/>
        <w:gridCol w:w="954"/>
        <w:gridCol w:w="1318"/>
        <w:gridCol w:w="677"/>
      </w:tblGrid>
      <w:tr>
        <w:tblPrEx>
          <w:tblLayout w:type="fixed"/>
          <w:tblCellMar>
            <w:top w:w="0" w:type="dxa"/>
            <w:left w:w="108" w:type="dxa"/>
            <w:bottom w:w="0" w:type="dxa"/>
            <w:right w:w="108" w:type="dxa"/>
          </w:tblCellMar>
        </w:tblPrEx>
        <w:trPr>
          <w:trHeight w:val="579" w:hRule="atLeast"/>
        </w:trPr>
        <w:tc>
          <w:tcPr>
            <w:tcW w:w="131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项目</w:t>
            </w:r>
          </w:p>
        </w:tc>
        <w:tc>
          <w:tcPr>
            <w:tcW w:w="183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招标范围</w:t>
            </w:r>
          </w:p>
        </w:tc>
        <w:tc>
          <w:tcPr>
            <w:tcW w:w="193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招标组织形式</w:t>
            </w:r>
          </w:p>
        </w:tc>
        <w:tc>
          <w:tcPr>
            <w:tcW w:w="192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招标方式</w:t>
            </w:r>
          </w:p>
        </w:tc>
        <w:tc>
          <w:tcPr>
            <w:tcW w:w="95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不采用招标方式</w:t>
            </w:r>
          </w:p>
        </w:tc>
        <w:tc>
          <w:tcPr>
            <w:tcW w:w="131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招标估算金额（万元）</w:t>
            </w:r>
          </w:p>
        </w:tc>
        <w:tc>
          <w:tcPr>
            <w:tcW w:w="67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备注</w:t>
            </w:r>
          </w:p>
        </w:tc>
      </w:tr>
      <w:tr>
        <w:tblPrEx>
          <w:tblLayout w:type="fixed"/>
          <w:tblCellMar>
            <w:top w:w="0" w:type="dxa"/>
            <w:left w:w="108" w:type="dxa"/>
            <w:bottom w:w="0" w:type="dxa"/>
            <w:right w:w="108" w:type="dxa"/>
          </w:tblCellMar>
        </w:tblPrEx>
        <w:trPr>
          <w:trHeight w:val="146"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全部招标</w:t>
            </w:r>
          </w:p>
        </w:tc>
        <w:tc>
          <w:tcPr>
            <w:tcW w:w="882"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部分招标</w:t>
            </w:r>
          </w:p>
        </w:tc>
        <w:tc>
          <w:tcPr>
            <w:tcW w:w="956"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自行招标</w:t>
            </w:r>
          </w:p>
        </w:tc>
        <w:tc>
          <w:tcPr>
            <w:tcW w:w="976"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委托招标</w:t>
            </w:r>
          </w:p>
        </w:tc>
        <w:tc>
          <w:tcPr>
            <w:tcW w:w="958"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公开招标</w:t>
            </w:r>
          </w:p>
        </w:tc>
        <w:tc>
          <w:tcPr>
            <w:tcW w:w="96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邀请招标</w:t>
            </w:r>
          </w:p>
        </w:tc>
        <w:tc>
          <w:tcPr>
            <w:tcW w:w="954"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p>
        </w:tc>
        <w:tc>
          <w:tcPr>
            <w:tcW w:w="1318"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p>
        </w:tc>
        <w:tc>
          <w:tcPr>
            <w:tcW w:w="677"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勘察</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设计</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建筑工程</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安装工程</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监理</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设备</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材料</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r>
        <w:tblPrEx>
          <w:tblLayout w:type="fixed"/>
          <w:tblCellMar>
            <w:top w:w="0" w:type="dxa"/>
            <w:left w:w="108" w:type="dxa"/>
            <w:bottom w:w="0" w:type="dxa"/>
            <w:right w:w="108" w:type="dxa"/>
          </w:tblCellMar>
        </w:tblPrEx>
        <w:trPr>
          <w:trHeight w:val="564" w:hRule="atLeast"/>
        </w:trPr>
        <w:tc>
          <w:tcPr>
            <w:tcW w:w="1313"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其他</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6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9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r>
              <w:rPr>
                <w:rFonts w:hint="eastAsia" w:ascii="Calibri" w:hAnsi="Calibri" w:eastAsia="宋体" w:cs="Times New Roman"/>
                <w:sz w:val="21"/>
                <w:szCs w:val="21"/>
                <w:lang w:val="en-US" w:eastAsia="zh-CN"/>
              </w:rPr>
              <w:t>√</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c>
          <w:tcPr>
            <w:tcW w:w="67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sz w:val="21"/>
                <w:szCs w:val="21"/>
                <w:lang w:val="en-US" w:eastAsia="zh-CN"/>
              </w:rPr>
            </w:pPr>
          </w:p>
        </w:tc>
      </w:tr>
    </w:tbl>
    <w:p>
      <w:pPr>
        <w:pStyle w:val="4"/>
        <w:rPr>
          <w:rFonts w:hint="eastAsia" w:ascii="Calibri" w:hAnsi="Calibri" w:eastAsia="宋体" w:cs="Times New Roman"/>
          <w:sz w:val="32"/>
          <w:szCs w:val="32"/>
          <w:lang w:val="en-US" w:eastAsia="zh-CN"/>
        </w:rPr>
      </w:pPr>
      <w:r>
        <w:rPr>
          <w:rFonts w:hint="eastAsia" w:ascii="Calibri" w:hAnsi="Calibri" w:eastAsia="宋体" w:cs="Times New Roman"/>
          <w:sz w:val="32"/>
          <w:szCs w:val="32"/>
          <w:lang w:val="en-US" w:eastAsia="zh-CN"/>
        </w:rPr>
        <w:t xml:space="preserve">                招标基本方案表</w:t>
      </w:r>
    </w:p>
    <w:p>
      <w:pPr>
        <w:pStyle w:val="4"/>
        <w:bidi w:val="0"/>
        <w:rPr>
          <w:rFonts w:hint="eastAsia"/>
        </w:rPr>
      </w:pPr>
      <w:bookmarkStart w:id="220" w:name="_Toc23531"/>
      <w:bookmarkStart w:id="221" w:name="_Toc16216"/>
      <w:r>
        <w:rPr>
          <w:rFonts w:hint="eastAsia"/>
          <w:lang w:val="en-US" w:eastAsia="zh-CN"/>
        </w:rPr>
        <w:t>3、</w:t>
      </w:r>
      <w:r>
        <w:rPr>
          <w:rFonts w:hint="eastAsia"/>
        </w:rPr>
        <w:t>项目公告公示</w:t>
      </w:r>
      <w:bookmarkEnd w:id="220"/>
      <w:bookmarkEnd w:id="221"/>
    </w:p>
    <w:p>
      <w:pPr>
        <w:spacing w:line="360" w:lineRule="auto"/>
        <w:ind w:firstLine="640" w:firstLineChars="200"/>
        <w:rPr>
          <w:rFonts w:hint="eastAsia" w:ascii="宋体" w:hAnsi="宋体" w:eastAsia="宋体" w:cs="宋体"/>
          <w:sz w:val="32"/>
          <w:szCs w:val="32"/>
        </w:rPr>
      </w:pPr>
      <w:r>
        <w:rPr>
          <w:rFonts w:hint="eastAsia" w:ascii="Calibri" w:hAnsi="Calibri" w:eastAsia="宋体" w:cs="Times New Roman"/>
          <w:sz w:val="32"/>
          <w:szCs w:val="32"/>
          <w:highlight w:val="none"/>
        </w:rPr>
        <w:t>扶贫项目实施需按《新疆维吾尔自治区财政专项扶贫资金（扶贫发展项目管理办法（暂行的通知》（新扶贫领字〔2017〕39号、《新疆维吾尔自治区扶贫资金项目公告公示制度实施办法》（〔2018〕27号等文件精神，按事前、事中、</w:t>
      </w:r>
      <w:r>
        <w:rPr>
          <w:rFonts w:hint="eastAsia" w:ascii="Calibri" w:hAnsi="Calibri" w:cs="Times New Roman"/>
          <w:sz w:val="32"/>
          <w:szCs w:val="32"/>
          <w:highlight w:val="none"/>
          <w:lang w:val="en-US" w:eastAsia="zh-CN"/>
        </w:rPr>
        <w:t>事后</w:t>
      </w:r>
      <w:r>
        <w:rPr>
          <w:rFonts w:hint="eastAsia" w:ascii="Calibri" w:hAnsi="Calibri" w:eastAsia="宋体" w:cs="Times New Roman"/>
          <w:sz w:val="32"/>
          <w:szCs w:val="32"/>
          <w:highlight w:val="none"/>
        </w:rPr>
        <w:t>增加公示公告章节内容，并明确公示公告的方式</w:t>
      </w:r>
      <w:r>
        <w:rPr>
          <w:rFonts w:hint="eastAsia" w:cs="Times New Roman"/>
          <w:sz w:val="32"/>
          <w:szCs w:val="32"/>
          <w:highlight w:val="none"/>
          <w:lang w:eastAsia="zh-CN"/>
        </w:rPr>
        <w:t>，</w:t>
      </w:r>
      <w:r>
        <w:rPr>
          <w:rFonts w:hint="eastAsia" w:cs="Times New Roman"/>
          <w:sz w:val="32"/>
          <w:szCs w:val="32"/>
          <w:highlight w:val="none"/>
          <w:lang w:val="en-US" w:eastAsia="zh-CN"/>
        </w:rPr>
        <w:t>公示公告时间不少于10天。</w:t>
      </w:r>
    </w:p>
    <w:p>
      <w:pPr>
        <w:pStyle w:val="3"/>
        <w:bidi w:val="0"/>
        <w:spacing w:line="360" w:lineRule="auto"/>
        <w:jc w:val="center"/>
        <w:rPr>
          <w:rFonts w:hint="eastAsia"/>
        </w:rPr>
      </w:pPr>
      <w:bookmarkStart w:id="222" w:name="_Toc18409"/>
      <w:bookmarkStart w:id="223" w:name="_Toc28541"/>
      <w:bookmarkStart w:id="224" w:name="_Toc388912752"/>
      <w:bookmarkStart w:id="225" w:name="_Toc250645166"/>
      <w:bookmarkStart w:id="226" w:name="_Toc166299302"/>
      <w:bookmarkStart w:id="227" w:name="_Toc388700912"/>
      <w:bookmarkStart w:id="228" w:name="_Toc36652534"/>
      <w:bookmarkStart w:id="229" w:name="_Toc426051138"/>
      <w:bookmarkStart w:id="230" w:name="_Toc389479208"/>
      <w:bookmarkStart w:id="231" w:name="_Toc390100947"/>
      <w:bookmarkStart w:id="232" w:name="_Toc422249909"/>
      <w:r>
        <w:rPr>
          <w:rFonts w:hint="eastAsia"/>
          <w:lang w:eastAsia="zh-CN"/>
        </w:rPr>
        <w:t>七、</w:t>
      </w:r>
      <w:r>
        <w:rPr>
          <w:rFonts w:hint="eastAsia"/>
        </w:rPr>
        <w:t>项目绩效目标及效益分析</w:t>
      </w:r>
      <w:bookmarkEnd w:id="222"/>
      <w:bookmarkEnd w:id="223"/>
    </w:p>
    <w:p>
      <w:pPr>
        <w:pStyle w:val="4"/>
        <w:bidi w:val="0"/>
        <w:spacing w:line="360" w:lineRule="auto"/>
        <w:rPr>
          <w:rFonts w:hint="eastAsia" w:ascii="宋体" w:hAnsi="宋体" w:eastAsia="宋体" w:cs="宋体"/>
          <w:sz w:val="32"/>
          <w:szCs w:val="32"/>
        </w:rPr>
      </w:pPr>
      <w:bookmarkStart w:id="233" w:name="_Toc13261"/>
      <w:bookmarkStart w:id="234" w:name="_Toc27277"/>
      <w:r>
        <w:rPr>
          <w:rFonts w:hint="eastAsia" w:ascii="宋体" w:hAnsi="宋体" w:eastAsia="宋体" w:cs="宋体"/>
          <w:sz w:val="32"/>
          <w:szCs w:val="32"/>
          <w:lang w:val="en-US" w:eastAsia="zh-CN"/>
        </w:rPr>
        <w:t>1、</w:t>
      </w:r>
      <w:r>
        <w:rPr>
          <w:rFonts w:hint="eastAsia" w:ascii="宋体" w:hAnsi="宋体" w:eastAsia="宋体" w:cs="宋体"/>
          <w:sz w:val="32"/>
          <w:szCs w:val="32"/>
        </w:rPr>
        <w:t>项目覆盖情况</w:t>
      </w:r>
      <w:bookmarkEnd w:id="233"/>
      <w:bookmarkEnd w:id="234"/>
    </w:p>
    <w:p>
      <w:pPr>
        <w:widowControl w:val="0"/>
        <w:spacing w:line="360" w:lineRule="auto"/>
        <w:ind w:firstLine="640" w:firstLineChars="200"/>
        <w:rPr>
          <w:rFonts w:hint="default" w:ascii="宋体" w:hAnsi="宋体" w:eastAsia="宋体" w:cs="宋体"/>
          <w:sz w:val="32"/>
          <w:szCs w:val="32"/>
          <w:highlight w:val="yellow"/>
          <w:lang w:val="en-US" w:eastAsia="zh-CN"/>
        </w:rPr>
      </w:pPr>
      <w:r>
        <w:rPr>
          <w:rFonts w:hint="eastAsia" w:ascii="Calibri" w:hAnsi="Calibri" w:eastAsia="宋体" w:cs="Times New Roman"/>
          <w:sz w:val="32"/>
          <w:szCs w:val="32"/>
          <w:lang w:val="en-US" w:eastAsia="zh-CN"/>
        </w:rPr>
        <w:t>裕民县江格斯乡</w:t>
      </w:r>
      <w:r>
        <w:rPr>
          <w:rFonts w:hint="eastAsia" w:cs="Times New Roman"/>
          <w:sz w:val="32"/>
          <w:szCs w:val="32"/>
          <w:lang w:val="en-US" w:eastAsia="zh-CN"/>
        </w:rPr>
        <w:t>吉兰德村</w:t>
      </w:r>
      <w:r>
        <w:rPr>
          <w:rFonts w:hint="eastAsia" w:ascii="Calibri" w:hAnsi="Calibri" w:eastAsia="宋体" w:cs="Times New Roman"/>
          <w:sz w:val="32"/>
          <w:szCs w:val="32"/>
          <w:lang w:val="en-US" w:eastAsia="zh-CN"/>
        </w:rPr>
        <w:t>村内，</w:t>
      </w:r>
      <w:r>
        <w:rPr>
          <w:rFonts w:hint="eastAsia" w:ascii="宋体" w:hAnsi="宋体" w:eastAsia="宋体" w:cs="宋体"/>
          <w:sz w:val="32"/>
          <w:szCs w:val="32"/>
          <w:lang w:val="en-US" w:eastAsia="zh-CN"/>
        </w:rPr>
        <w:t>吉兰德村位于县城以西20公里处</w:t>
      </w:r>
      <w:r>
        <w:rPr>
          <w:rFonts w:hint="eastAsia" w:ascii="Calibri" w:hAnsi="Calibri" w:eastAsia="宋体" w:cs="Times New Roman"/>
          <w:sz w:val="32"/>
          <w:szCs w:val="32"/>
          <w:lang w:val="en-US" w:eastAsia="zh-CN"/>
        </w:rPr>
        <w:t>。全村共有人口</w:t>
      </w:r>
      <w:r>
        <w:rPr>
          <w:rFonts w:hint="eastAsia" w:ascii="宋体" w:hAnsi="宋体" w:cs="宋体"/>
          <w:sz w:val="32"/>
          <w:szCs w:val="32"/>
          <w:lang w:val="en-US" w:eastAsia="zh-CN"/>
        </w:rPr>
        <w:t>240</w:t>
      </w:r>
      <w:r>
        <w:rPr>
          <w:rFonts w:hint="eastAsia" w:ascii="宋体" w:hAnsi="宋体" w:eastAsia="宋体" w:cs="宋体"/>
          <w:sz w:val="32"/>
          <w:szCs w:val="32"/>
          <w:lang w:val="en-US" w:eastAsia="zh-CN"/>
        </w:rPr>
        <w:t>户</w:t>
      </w:r>
      <w:r>
        <w:rPr>
          <w:rFonts w:hint="eastAsia" w:ascii="宋体" w:hAnsi="宋体" w:cs="宋体"/>
          <w:sz w:val="32"/>
          <w:szCs w:val="32"/>
          <w:lang w:val="en-US" w:eastAsia="zh-CN"/>
        </w:rPr>
        <w:t>690</w:t>
      </w:r>
      <w:r>
        <w:rPr>
          <w:rFonts w:hint="eastAsia" w:ascii="宋体" w:hAnsi="宋体" w:eastAsia="宋体" w:cs="宋体"/>
          <w:sz w:val="32"/>
          <w:szCs w:val="32"/>
          <w:lang w:val="en-US" w:eastAsia="zh-CN"/>
        </w:rPr>
        <w:t>人</w:t>
      </w:r>
      <w:r>
        <w:rPr>
          <w:rFonts w:hint="eastAsia" w:ascii="Calibri" w:hAnsi="Calibri" w:eastAsia="宋体" w:cs="Times New Roman"/>
          <w:sz w:val="32"/>
          <w:szCs w:val="32"/>
          <w:lang w:val="en-US" w:eastAsia="zh-CN"/>
        </w:rPr>
        <w:t>，其中</w:t>
      </w:r>
      <w:r>
        <w:rPr>
          <w:rFonts w:hint="eastAsia" w:cs="Times New Roman"/>
          <w:sz w:val="32"/>
          <w:szCs w:val="32"/>
          <w:lang w:val="en-US" w:eastAsia="zh-CN"/>
        </w:rPr>
        <w:t>17</w:t>
      </w:r>
      <w:r>
        <w:rPr>
          <w:rFonts w:hint="eastAsia" w:ascii="Calibri" w:hAnsi="Calibri" w:eastAsia="宋体" w:cs="Times New Roman"/>
          <w:sz w:val="32"/>
          <w:szCs w:val="32"/>
          <w:lang w:val="en-US" w:eastAsia="zh-CN"/>
        </w:rPr>
        <w:t>户</w:t>
      </w:r>
      <w:r>
        <w:rPr>
          <w:rFonts w:hint="eastAsia" w:cs="Times New Roman"/>
          <w:sz w:val="32"/>
          <w:szCs w:val="32"/>
          <w:lang w:val="en-US" w:eastAsia="zh-CN"/>
        </w:rPr>
        <w:t>42</w:t>
      </w:r>
      <w:r>
        <w:rPr>
          <w:rFonts w:hint="eastAsia" w:ascii="Calibri" w:hAnsi="Calibri" w:eastAsia="宋体" w:cs="Times New Roman"/>
          <w:sz w:val="32"/>
          <w:szCs w:val="32"/>
          <w:lang w:val="en-US" w:eastAsia="zh-CN"/>
        </w:rPr>
        <w:t>人。</w:t>
      </w:r>
      <w:r>
        <w:rPr>
          <w:rFonts w:hint="eastAsia" w:cs="Times New Roman"/>
          <w:sz w:val="32"/>
          <w:szCs w:val="32"/>
          <w:lang w:val="en-US" w:eastAsia="zh-CN"/>
        </w:rPr>
        <w:t>该项目实施后，可使全村受益，直接受益2户以上。</w:t>
      </w:r>
    </w:p>
    <w:p>
      <w:pPr>
        <w:pStyle w:val="4"/>
        <w:bidi w:val="0"/>
        <w:spacing w:line="360" w:lineRule="auto"/>
        <w:rPr>
          <w:rFonts w:hint="eastAsia" w:ascii="宋体" w:hAnsi="宋体" w:eastAsia="宋体" w:cs="宋体"/>
          <w:sz w:val="32"/>
          <w:szCs w:val="32"/>
        </w:rPr>
      </w:pPr>
      <w:bookmarkStart w:id="235" w:name="_Toc4170"/>
      <w:bookmarkStart w:id="236" w:name="_Toc8021"/>
      <w:r>
        <w:rPr>
          <w:rFonts w:hint="eastAsia" w:ascii="宋体" w:hAnsi="宋体" w:eastAsia="宋体" w:cs="宋体"/>
          <w:sz w:val="32"/>
          <w:szCs w:val="32"/>
          <w:lang w:val="en-US" w:eastAsia="zh-CN"/>
        </w:rPr>
        <w:t>2、</w:t>
      </w:r>
      <w:r>
        <w:rPr>
          <w:rFonts w:hint="eastAsia" w:ascii="宋体" w:hAnsi="宋体" w:eastAsia="宋体" w:cs="宋体"/>
          <w:sz w:val="32"/>
          <w:szCs w:val="32"/>
        </w:rPr>
        <w:t>经济效益</w:t>
      </w:r>
      <w:bookmarkEnd w:id="235"/>
      <w:bookmarkEnd w:id="236"/>
    </w:p>
    <w:p>
      <w:pPr>
        <w:widowControl w:val="0"/>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本项目的建设将带来良好的社会效益。根据项目区目前的现状，农业生产发展较快，特别是农区畜牧业已在生产中占有很大比重，而现有种养殖生产方式已不能满足广大农牧民的生产生活，近年来，乡政府不断优化产业结构，推广科技产业发展，加强科技培训，改善产业结构单一问题，通过进一步加强产业发展，解决产业单一问题，为社会经济持续增长创造了有利条件。</w:t>
      </w:r>
    </w:p>
    <w:p>
      <w:pPr>
        <w:widowControl w:val="0"/>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项目建成后，农牧民参与生活生产积极性提高，此举可增加就业人数，减轻村、乡和社会压力，有助于社会稳定。</w:t>
      </w:r>
    </w:p>
    <w:p>
      <w:pPr>
        <w:widowControl w:val="0"/>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项目区生产生活条件得到改善后，农牧民生产积极性提高，极大的提高了农民的收入，提高了农业综合生产能力，通过新建配套与节水改造的建设，逐步完善产业经济发展工程，产业结构单一问题得到明显改善，缓解了项目区经济发展缓慢的问题，为项目区内农牧民致富、奔小康创造了物质条件。</w:t>
      </w:r>
    </w:p>
    <w:p>
      <w:pPr>
        <w:pStyle w:val="4"/>
        <w:bidi w:val="0"/>
        <w:spacing w:line="360" w:lineRule="auto"/>
        <w:rPr>
          <w:rFonts w:hint="eastAsia" w:ascii="宋体" w:hAnsi="宋体" w:eastAsia="宋体" w:cs="宋体"/>
          <w:sz w:val="32"/>
          <w:szCs w:val="32"/>
        </w:rPr>
      </w:pPr>
      <w:bookmarkStart w:id="237" w:name="_Toc19777"/>
      <w:bookmarkStart w:id="238" w:name="_Toc18309"/>
      <w:r>
        <w:rPr>
          <w:rFonts w:hint="eastAsia" w:ascii="宋体" w:hAnsi="宋体" w:eastAsia="宋体" w:cs="宋体"/>
          <w:sz w:val="32"/>
          <w:szCs w:val="32"/>
          <w:lang w:val="en-US" w:eastAsia="zh-CN"/>
        </w:rPr>
        <w:t>3、</w:t>
      </w:r>
      <w:r>
        <w:rPr>
          <w:rFonts w:hint="eastAsia" w:ascii="宋体" w:hAnsi="宋体" w:eastAsia="宋体" w:cs="宋体"/>
          <w:sz w:val="32"/>
          <w:szCs w:val="32"/>
        </w:rPr>
        <w:t>社会效益</w:t>
      </w:r>
      <w:bookmarkEnd w:id="237"/>
      <w:bookmarkEnd w:id="238"/>
    </w:p>
    <w:p>
      <w:pPr>
        <w:widowControl w:val="0"/>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通过本项目的实施，项目区业余生产生活得到改善，产业结构单一问题改善，村集体经济得到发展，通过科技产业的发展有效带动富余劳动力和就业，改善经济来源单一问题，同时对项目区下游的居民区也产生积极的影响，改善居住环境。</w:t>
      </w:r>
    </w:p>
    <w:p>
      <w:pPr>
        <w:pStyle w:val="4"/>
        <w:bidi w:val="0"/>
        <w:spacing w:line="360" w:lineRule="auto"/>
        <w:rPr>
          <w:rFonts w:hint="eastAsia" w:ascii="宋体" w:hAnsi="宋体" w:eastAsia="宋体" w:cs="宋体"/>
          <w:sz w:val="32"/>
          <w:szCs w:val="32"/>
        </w:rPr>
      </w:pPr>
      <w:bookmarkStart w:id="239" w:name="_Toc25638"/>
      <w:bookmarkStart w:id="240" w:name="_Toc29738"/>
      <w:r>
        <w:rPr>
          <w:rFonts w:hint="eastAsia" w:ascii="宋体" w:hAnsi="宋体" w:eastAsia="宋体" w:cs="宋体"/>
          <w:sz w:val="32"/>
          <w:szCs w:val="32"/>
          <w:lang w:val="en-US" w:eastAsia="zh-CN"/>
        </w:rPr>
        <w:t>4、</w:t>
      </w:r>
      <w:r>
        <w:rPr>
          <w:rFonts w:hint="eastAsia" w:ascii="宋体" w:hAnsi="宋体" w:eastAsia="宋体" w:cs="宋体"/>
          <w:sz w:val="32"/>
          <w:szCs w:val="32"/>
        </w:rPr>
        <w:t>生态效益</w:t>
      </w:r>
      <w:bookmarkEnd w:id="239"/>
      <w:bookmarkEnd w:id="240"/>
    </w:p>
    <w:p>
      <w:pPr>
        <w:widowControl w:val="0"/>
        <w:spacing w:line="360" w:lineRule="auto"/>
        <w:ind w:firstLine="600" w:firstLineChars="200"/>
        <w:rPr>
          <w:rFonts w:hint="eastAsia" w:ascii="宋体" w:hAnsi="宋体" w:eastAsia="宋体" w:cs="宋体"/>
          <w:sz w:val="32"/>
          <w:szCs w:val="32"/>
          <w:highlight w:val="yellow"/>
          <w:lang w:eastAsia="zh-CN"/>
        </w:rPr>
      </w:pPr>
      <w:r>
        <w:rPr>
          <w:rFonts w:hint="eastAsia" w:ascii="宋体" w:hAnsi="宋体" w:eastAsia="宋体" w:cs="宋体"/>
          <w:color w:val="000000" w:themeColor="text1"/>
          <w:sz w:val="30"/>
          <w:szCs w:val="30"/>
          <w14:textFill>
            <w14:solidFill>
              <w14:schemeClr w14:val="tx1"/>
            </w14:solidFill>
          </w14:textFill>
        </w:rPr>
        <w:t>本项目的建设与周边的建筑物间距适当，互不影响，对原环境不构成破坏。相反由于它的建成将会改变市区环境，使周围环境在视觉上更加和谐美观</w:t>
      </w:r>
      <w:r>
        <w:rPr>
          <w:rFonts w:hint="eastAsia" w:ascii="宋体" w:hAnsi="宋体" w:cs="宋体"/>
          <w:color w:val="000000" w:themeColor="text1"/>
          <w:sz w:val="30"/>
          <w:szCs w:val="30"/>
          <w:lang w:eastAsia="zh-CN"/>
          <w14:textFill>
            <w14:solidFill>
              <w14:schemeClr w14:val="tx1"/>
            </w14:solidFill>
          </w14:textFill>
        </w:rPr>
        <w:t>。</w:t>
      </w:r>
    </w:p>
    <w:p>
      <w:pPr>
        <w:pStyle w:val="4"/>
        <w:bidi w:val="0"/>
        <w:rPr>
          <w:rFonts w:hint="eastAsia" w:ascii="宋体" w:hAnsi="宋体" w:eastAsia="宋体" w:cs="宋体"/>
          <w:sz w:val="32"/>
          <w:szCs w:val="32"/>
          <w:lang w:val="en-US" w:eastAsia="zh-CN"/>
        </w:rPr>
      </w:pPr>
      <w:bookmarkStart w:id="241" w:name="_Toc27951"/>
      <w:bookmarkStart w:id="242" w:name="_Toc3561"/>
      <w:r>
        <w:rPr>
          <w:rFonts w:hint="eastAsia" w:ascii="宋体" w:hAnsi="宋体" w:eastAsia="宋体" w:cs="宋体"/>
          <w:sz w:val="32"/>
          <w:szCs w:val="32"/>
          <w:lang w:val="en-US" w:eastAsia="zh-CN"/>
        </w:rPr>
        <w:t>5、可持续性影响</w:t>
      </w:r>
      <w:bookmarkEnd w:id="241"/>
      <w:bookmarkEnd w:id="242"/>
    </w:p>
    <w:p>
      <w:pPr>
        <w:bidi w:val="0"/>
        <w:ind w:firstLine="640" w:firstLineChars="200"/>
        <w:rPr>
          <w:rFonts w:hint="eastAsia"/>
          <w:sz w:val="32"/>
          <w:szCs w:val="32"/>
          <w:lang w:val="en-US" w:eastAsia="zh-CN"/>
        </w:rPr>
      </w:pPr>
      <w:r>
        <w:rPr>
          <w:rFonts w:hint="eastAsia"/>
          <w:sz w:val="32"/>
          <w:szCs w:val="32"/>
          <w:lang w:val="en-US" w:eastAsia="zh-CN"/>
        </w:rPr>
        <w:t>该项目建成后可带动当地群众农牧业发展，提高当地群众收入，为当地村队可持续性发展打好坚实基础。</w:t>
      </w:r>
    </w:p>
    <w:bookmarkEnd w:id="224"/>
    <w:bookmarkEnd w:id="225"/>
    <w:bookmarkEnd w:id="226"/>
    <w:bookmarkEnd w:id="227"/>
    <w:bookmarkEnd w:id="228"/>
    <w:bookmarkEnd w:id="229"/>
    <w:bookmarkEnd w:id="230"/>
    <w:bookmarkEnd w:id="231"/>
    <w:bookmarkEnd w:id="232"/>
    <w:p>
      <w:pPr>
        <w:pStyle w:val="3"/>
        <w:bidi w:val="0"/>
        <w:jc w:val="center"/>
        <w:rPr>
          <w:rFonts w:hint="eastAsia"/>
        </w:rPr>
      </w:pPr>
      <w:bookmarkStart w:id="243" w:name="_Toc6620"/>
      <w:bookmarkStart w:id="244" w:name="_Toc23955"/>
      <w:r>
        <w:rPr>
          <w:rFonts w:hint="eastAsia"/>
          <w:lang w:eastAsia="zh-CN"/>
        </w:rPr>
        <w:t>八、</w:t>
      </w:r>
      <w:r>
        <w:rPr>
          <w:rFonts w:hint="eastAsia"/>
        </w:rPr>
        <w:t>风险分析</w:t>
      </w:r>
      <w:bookmarkEnd w:id="243"/>
      <w:bookmarkEnd w:id="244"/>
    </w:p>
    <w:p>
      <w:pPr>
        <w:pStyle w:val="4"/>
        <w:numPr>
          <w:ilvl w:val="0"/>
          <w:numId w:val="0"/>
        </w:numPr>
        <w:bidi w:val="0"/>
        <w:rPr>
          <w:rFonts w:hint="eastAsia"/>
        </w:rPr>
      </w:pPr>
      <w:bookmarkStart w:id="245" w:name="_Toc25622"/>
      <w:bookmarkStart w:id="246" w:name="_Toc27048"/>
      <w:r>
        <w:rPr>
          <w:rFonts w:hint="eastAsia"/>
          <w:lang w:val="en-US" w:eastAsia="zh-CN"/>
        </w:rPr>
        <w:t>1、</w:t>
      </w:r>
      <w:r>
        <w:rPr>
          <w:rFonts w:hint="eastAsia"/>
        </w:rPr>
        <w:t>主要风险因素</w:t>
      </w:r>
      <w:bookmarkEnd w:id="245"/>
      <w:bookmarkEnd w:id="246"/>
    </w:p>
    <w:p>
      <w:pPr>
        <w:widowControl w:val="0"/>
        <w:numPr>
          <w:ilvl w:val="0"/>
          <w:numId w:val="0"/>
        </w:numPr>
        <w:ind w:firstLine="640" w:firstLineChars="200"/>
        <w:rPr>
          <w:rFonts w:hint="eastAsia" w:ascii="Calibri" w:hAnsi="Calibri" w:eastAsia="宋体" w:cs="Times New Roman"/>
          <w:sz w:val="32"/>
          <w:szCs w:val="32"/>
        </w:rPr>
      </w:pPr>
      <w:r>
        <w:rPr>
          <w:rFonts w:hint="eastAsia" w:ascii="Calibri" w:hAnsi="Calibri" w:eastAsia="宋体" w:cs="Times New Roman"/>
          <w:sz w:val="32"/>
          <w:szCs w:val="32"/>
        </w:rPr>
        <w:t>本项目主要风险因素在于地方政策风险、组织管理风险、社会风险、资源风险和自然风险。通过专家评估法帮助识别风险要素和估计风险程度。对结果分析整理后，结合本报告各部分的研究成果进行汇总如下表：</w:t>
      </w:r>
    </w:p>
    <w:p>
      <w:pPr>
        <w:widowControl w:val="0"/>
        <w:ind w:firstLine="1600" w:firstLineChars="500"/>
        <w:rPr>
          <w:rFonts w:hint="eastAsia" w:ascii="Calibri" w:hAnsi="Calibri" w:eastAsia="宋体" w:cs="Times New Roman"/>
          <w:sz w:val="32"/>
          <w:szCs w:val="32"/>
        </w:rPr>
      </w:pPr>
      <w:r>
        <w:rPr>
          <w:rFonts w:hint="eastAsia" w:ascii="Calibri" w:hAnsi="Calibri" w:eastAsia="宋体" w:cs="Times New Roman"/>
          <w:sz w:val="32"/>
          <w:szCs w:val="32"/>
        </w:rPr>
        <w:t xml:space="preserve">  项目风险因素和风险程度分析表</w:t>
      </w:r>
    </w:p>
    <w:tbl>
      <w:tblPr>
        <w:tblStyle w:val="31"/>
        <w:tblW w:w="95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3576"/>
        <w:gridCol w:w="2127"/>
        <w:gridCol w:w="2464"/>
      </w:tblGrid>
      <w:tr>
        <w:tblPrEx>
          <w:tblLayout w:type="fixed"/>
          <w:tblCellMar>
            <w:top w:w="0" w:type="dxa"/>
            <w:left w:w="108" w:type="dxa"/>
            <w:bottom w:w="0" w:type="dxa"/>
            <w:right w:w="108" w:type="dxa"/>
          </w:tblCellMar>
        </w:tblPrEx>
        <w:trPr>
          <w:trHeight w:val="397" w:hRule="atLeast"/>
          <w:tblHeader/>
          <w:jc w:val="center"/>
        </w:trPr>
        <w:tc>
          <w:tcPr>
            <w:tcW w:w="140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序号</w:t>
            </w:r>
          </w:p>
        </w:tc>
        <w:tc>
          <w:tcPr>
            <w:tcW w:w="3576"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风险因素</w:t>
            </w:r>
          </w:p>
        </w:tc>
        <w:tc>
          <w:tcPr>
            <w:tcW w:w="2127"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风险程度</w:t>
            </w:r>
          </w:p>
        </w:tc>
        <w:tc>
          <w:tcPr>
            <w:tcW w:w="246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0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1</w:t>
            </w:r>
          </w:p>
        </w:tc>
        <w:tc>
          <w:tcPr>
            <w:tcW w:w="3576"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地方政策风险</w:t>
            </w:r>
          </w:p>
        </w:tc>
        <w:tc>
          <w:tcPr>
            <w:tcW w:w="2127"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一般</w:t>
            </w:r>
          </w:p>
        </w:tc>
        <w:tc>
          <w:tcPr>
            <w:tcW w:w="246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执行与变化</w:t>
            </w:r>
          </w:p>
        </w:tc>
      </w:tr>
      <w:tr>
        <w:tblPrEx>
          <w:tblLayout w:type="fixed"/>
          <w:tblCellMar>
            <w:top w:w="0" w:type="dxa"/>
            <w:left w:w="108" w:type="dxa"/>
            <w:bottom w:w="0" w:type="dxa"/>
            <w:right w:w="108" w:type="dxa"/>
          </w:tblCellMar>
        </w:tblPrEx>
        <w:trPr>
          <w:trHeight w:val="397" w:hRule="atLeast"/>
          <w:jc w:val="center"/>
        </w:trPr>
        <w:tc>
          <w:tcPr>
            <w:tcW w:w="140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2</w:t>
            </w:r>
          </w:p>
        </w:tc>
        <w:tc>
          <w:tcPr>
            <w:tcW w:w="3576"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组织管理风险</w:t>
            </w:r>
          </w:p>
        </w:tc>
        <w:tc>
          <w:tcPr>
            <w:tcW w:w="2127"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一般</w:t>
            </w:r>
          </w:p>
        </w:tc>
        <w:tc>
          <w:tcPr>
            <w:tcW w:w="246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机构与人才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0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3</w:t>
            </w:r>
          </w:p>
        </w:tc>
        <w:tc>
          <w:tcPr>
            <w:tcW w:w="3576"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社会风险</w:t>
            </w:r>
          </w:p>
        </w:tc>
        <w:tc>
          <w:tcPr>
            <w:tcW w:w="2127"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一般</w:t>
            </w:r>
          </w:p>
        </w:tc>
        <w:tc>
          <w:tcPr>
            <w:tcW w:w="246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利益冲突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0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4</w:t>
            </w:r>
          </w:p>
        </w:tc>
        <w:tc>
          <w:tcPr>
            <w:tcW w:w="3576"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资源风险</w:t>
            </w:r>
          </w:p>
        </w:tc>
        <w:tc>
          <w:tcPr>
            <w:tcW w:w="2127"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一般</w:t>
            </w:r>
          </w:p>
        </w:tc>
        <w:tc>
          <w:tcPr>
            <w:tcW w:w="246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项目资源供给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404"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5</w:t>
            </w:r>
          </w:p>
        </w:tc>
        <w:tc>
          <w:tcPr>
            <w:tcW w:w="3576"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自然风险</w:t>
            </w:r>
          </w:p>
        </w:tc>
        <w:tc>
          <w:tcPr>
            <w:tcW w:w="2127" w:type="dxa"/>
            <w:noWrap w:val="0"/>
            <w:vAlign w:val="center"/>
          </w:tcPr>
          <w:p>
            <w:pPr>
              <w:widowControl w:val="0"/>
              <w:rPr>
                <w:rFonts w:hint="eastAsia" w:ascii="Calibri" w:hAnsi="Calibri" w:eastAsia="宋体" w:cs="Times New Roman"/>
                <w:sz w:val="21"/>
                <w:szCs w:val="21"/>
              </w:rPr>
            </w:pPr>
            <w:r>
              <w:rPr>
                <w:rFonts w:hint="eastAsia" w:ascii="Calibri" w:hAnsi="Calibri" w:eastAsia="宋体" w:cs="Times New Roman"/>
                <w:sz w:val="21"/>
                <w:szCs w:val="21"/>
              </w:rPr>
              <w:t>一般</w:t>
            </w:r>
          </w:p>
        </w:tc>
        <w:tc>
          <w:tcPr>
            <w:tcW w:w="2464" w:type="dxa"/>
            <w:noWrap w:val="0"/>
            <w:vAlign w:val="center"/>
          </w:tcPr>
          <w:p>
            <w:pPr>
              <w:widowControl w:val="0"/>
              <w:rPr>
                <w:rFonts w:hint="eastAsia" w:ascii="Calibri" w:hAnsi="Calibri" w:eastAsia="宋体" w:cs="Times New Roman"/>
                <w:sz w:val="21"/>
                <w:szCs w:val="21"/>
              </w:rPr>
            </w:pPr>
          </w:p>
        </w:tc>
      </w:tr>
    </w:tbl>
    <w:p>
      <w:pPr>
        <w:widowControl w:val="0"/>
        <w:rPr>
          <w:rFonts w:hint="eastAsia" w:ascii="Calibri" w:hAnsi="Calibri" w:eastAsia="宋体" w:cs="Times New Roman"/>
          <w:sz w:val="32"/>
          <w:szCs w:val="32"/>
        </w:rPr>
      </w:pPr>
    </w:p>
    <w:p>
      <w:pPr>
        <w:pStyle w:val="4"/>
        <w:bidi w:val="0"/>
        <w:rPr>
          <w:rFonts w:hint="eastAsia"/>
        </w:rPr>
      </w:pPr>
      <w:bookmarkStart w:id="247" w:name="_Toc19325"/>
      <w:bookmarkStart w:id="248" w:name="_Toc12603"/>
      <w:r>
        <w:rPr>
          <w:rFonts w:hint="eastAsia"/>
          <w:lang w:val="en-US" w:eastAsia="zh-CN"/>
        </w:rPr>
        <w:t>2、</w:t>
      </w:r>
      <w:r>
        <w:rPr>
          <w:rFonts w:hint="eastAsia"/>
        </w:rPr>
        <w:t>防范化解措施</w:t>
      </w:r>
      <w:bookmarkEnd w:id="247"/>
      <w:bookmarkEnd w:id="248"/>
    </w:p>
    <w:p>
      <w:pPr>
        <w:widowControl w:val="0"/>
        <w:ind w:firstLine="640" w:firstLineChars="200"/>
        <w:rPr>
          <w:rFonts w:hint="eastAsia" w:ascii="Calibri" w:hAnsi="Calibri" w:eastAsia="宋体" w:cs="Times New Roman"/>
          <w:sz w:val="32"/>
          <w:szCs w:val="32"/>
        </w:rPr>
      </w:pPr>
      <w:r>
        <w:rPr>
          <w:rFonts w:hint="eastAsia" w:ascii="Calibri" w:hAnsi="Calibri" w:eastAsia="宋体" w:cs="Times New Roman"/>
          <w:sz w:val="32"/>
          <w:szCs w:val="32"/>
        </w:rPr>
        <w:t>地方政策风险对策</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项目实施具有极强的政府行为并依据政策推进，政策的执行风险和裕民县政府各相关职能部门的配合风险，对本项目建设有重大影响。</w:t>
      </w:r>
    </w:p>
    <w:p>
      <w:pPr>
        <w:widowControl w:val="0"/>
        <w:ind w:firstLine="640" w:firstLineChars="200"/>
        <w:rPr>
          <w:rFonts w:hint="eastAsia" w:ascii="Calibri" w:hAnsi="Calibri" w:eastAsia="宋体" w:cs="Times New Roman"/>
          <w:sz w:val="32"/>
          <w:szCs w:val="32"/>
        </w:rPr>
      </w:pPr>
      <w:r>
        <w:rPr>
          <w:rFonts w:hint="eastAsia" w:ascii="Calibri" w:hAnsi="Calibri" w:eastAsia="宋体" w:cs="Times New Roman"/>
          <w:sz w:val="32"/>
          <w:szCs w:val="32"/>
        </w:rPr>
        <w:t>工程建设组织管理风险对策</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项目参与方众多，各方动机和目的不一致导致项目合作的风险，可能影响项目目标和进展的实现，项目组织内部各部门对项目的理解、态度和行动的不一致而产生风险。完善项目各参与方的合同，加强合同管理，可以降低项目的组织风险。</w:t>
      </w:r>
    </w:p>
    <w:p>
      <w:pPr>
        <w:widowControl w:val="0"/>
        <w:ind w:firstLine="640" w:firstLineChars="200"/>
        <w:rPr>
          <w:rFonts w:hint="eastAsia" w:ascii="Calibri" w:hAnsi="Calibri" w:eastAsia="宋体" w:cs="Times New Roman"/>
          <w:sz w:val="32"/>
          <w:szCs w:val="32"/>
        </w:rPr>
      </w:pPr>
      <w:r>
        <w:rPr>
          <w:rFonts w:hint="eastAsia" w:ascii="Calibri" w:hAnsi="Calibri" w:eastAsia="宋体" w:cs="Times New Roman"/>
          <w:sz w:val="32"/>
          <w:szCs w:val="32"/>
        </w:rPr>
        <w:t>项目实施社会风险对策</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本项目工程内容涉及直接民生利益，关系到社会稳定、民生安全、和谐社会建设等重大问题，社会影响面较广泛，包括社会治安、文化素质、公众态度等。对策：严格执行政府回购政策和国家相关政策，各级政府和相关部门在项目实施的每个环节，都要把人民群众的利益放在第一位，及时排解各种矛盾，确保项目顺利进行。</w:t>
      </w:r>
    </w:p>
    <w:p>
      <w:pPr>
        <w:widowControl w:val="0"/>
        <w:ind w:firstLine="640" w:firstLineChars="200"/>
        <w:rPr>
          <w:rFonts w:hint="eastAsia" w:ascii="Calibri" w:hAnsi="Calibri" w:eastAsia="宋体" w:cs="Times New Roman"/>
          <w:sz w:val="32"/>
          <w:szCs w:val="32"/>
        </w:rPr>
      </w:pPr>
      <w:r>
        <w:rPr>
          <w:rFonts w:hint="eastAsia" w:ascii="Calibri" w:hAnsi="Calibri" w:eastAsia="宋体" w:cs="Times New Roman"/>
          <w:sz w:val="32"/>
          <w:szCs w:val="32"/>
        </w:rPr>
        <w:t>工程建设的资源风险对策</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本项目工程建设资源风险较小，项目建设所需各项资源能够满足工程实施需要。</w:t>
      </w:r>
    </w:p>
    <w:p>
      <w:pPr>
        <w:spacing w:line="360" w:lineRule="auto"/>
        <w:ind w:firstLine="640" w:firstLineChars="200"/>
        <w:rPr>
          <w:rFonts w:hint="eastAsia" w:ascii="宋体" w:hAnsi="宋体" w:eastAsia="宋体" w:cs="宋体"/>
          <w:color w:val="000000" w:themeColor="text1"/>
          <w:sz w:val="30"/>
          <w:szCs w:val="30"/>
          <w14:textFill>
            <w14:solidFill>
              <w14:schemeClr w14:val="tx1"/>
            </w14:solidFill>
          </w14:textFill>
        </w:rPr>
      </w:pPr>
      <w:r>
        <w:rPr>
          <w:rFonts w:hint="eastAsia" w:ascii="Calibri" w:hAnsi="Calibri" w:eastAsia="宋体" w:cs="Times New Roman"/>
          <w:sz w:val="32"/>
          <w:szCs w:val="32"/>
        </w:rPr>
        <w:t>自然风险对策</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地震、火灾、风暴、暴雨、暴雪、极端气候的自然风险，具有高度不确定性和偶然性，很难准确预测，现代科技发展很快，人们认识自然的能力大步提高</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运用现代科学技术，尽量把握自然灾害产生的规律，提前做好各项应急措施</w:t>
      </w:r>
      <w:r>
        <w:rPr>
          <w:rFonts w:hint="eastAsia" w:ascii="Calibri" w:hAnsi="Calibri" w:eastAsia="宋体" w:cs="Times New Roman"/>
          <w:sz w:val="32"/>
          <w:szCs w:val="32"/>
          <w:lang w:eastAsia="zh-CN"/>
        </w:rPr>
        <w:t>；</w:t>
      </w:r>
      <w:r>
        <w:rPr>
          <w:rFonts w:hint="eastAsia" w:ascii="Calibri" w:hAnsi="Calibri" w:eastAsia="宋体" w:cs="Times New Roman"/>
          <w:sz w:val="32"/>
          <w:szCs w:val="32"/>
        </w:rPr>
        <w:t>运用现代完备的保险体系，如作好各种风险的保险储备，做好风险转移</w:t>
      </w:r>
    </w:p>
    <w:sectPr>
      <w:headerReference r:id="rId4" w:type="default"/>
      <w:footerReference r:id="rId5" w:type="default"/>
      <w:pgSz w:w="11906" w:h="16838"/>
      <w:pgMar w:top="1440" w:right="1080" w:bottom="1440" w:left="108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3"/>
                            <w:jc w:val="center"/>
                          </w:pPr>
                          <w:r>
                            <w:fldChar w:fldCharType="begin"/>
                          </w:r>
                          <w:r>
                            <w:instrText xml:space="preserve"> PAGE   \* MERGEFORMAT </w:instrText>
                          </w:r>
                          <w:r>
                            <w:fldChar w:fldCharType="separate"/>
                          </w:r>
                          <w:r>
                            <w:rPr>
                              <w:lang w:val="zh-CN"/>
                            </w:rPr>
                            <w:t>-</w:t>
                          </w:r>
                          <w:r>
                            <w:t xml:space="preserve"> 59 -</w:t>
                          </w:r>
                          <w:r>
                            <w:rPr>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qd70rIBAABZAwAADgAAAGRycy9lMm9Eb2MueG1srVPNjtMwEL4j8Q6W&#10;7zTZroS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lqd70rIB&#10;AABZAwAADgAAAAAAAAABACAAAAAeAQAAZHJzL2Uyb0RvYy54bWxQSwUGAAAAAAYABgBZAQAAQgUA&#10;AAAA&#10;">
              <v:fill on="f" focussize="0,0"/>
              <v:stroke on="f"/>
              <v:imagedata o:title=""/>
              <o:lock v:ext="edit" aspectratio="f"/>
              <v:textbox inset="0mm,0mm,0mm,0mm" style="mso-fit-shape-to-text:t;">
                <w:txbxContent>
                  <w:p>
                    <w:pPr>
                      <w:pStyle w:val="23"/>
                      <w:jc w:val="center"/>
                    </w:pPr>
                    <w:r>
                      <w:fldChar w:fldCharType="begin"/>
                    </w:r>
                    <w:r>
                      <w:instrText xml:space="preserve"> PAGE   \* MERGEFORMAT </w:instrText>
                    </w:r>
                    <w:r>
                      <w:fldChar w:fldCharType="separate"/>
                    </w:r>
                    <w:r>
                      <w:rPr>
                        <w:lang w:val="zh-CN"/>
                      </w:rPr>
                      <w:t>-</w:t>
                    </w:r>
                    <w:r>
                      <w:t xml:space="preserve"> 59 -</w:t>
                    </w:r>
                    <w:r>
                      <w:rPr>
                        <w:lang w:val="zh-CN"/>
                      </w:rPr>
                      <w:fldChar w:fldCharType="end"/>
                    </w:r>
                  </w:p>
                </w:txbxContent>
              </v:textbox>
            </v:shape>
          </w:pict>
        </mc:Fallback>
      </mc:AlternateContent>
    </w:r>
  </w:p>
  <w:p>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spacing w:line="360" w:lineRule="auto"/>
      <w:ind w:left="0" w:leftChars="0" w:firstLine="0" w:firstLineChars="0"/>
      <w:jc w:val="left"/>
      <w:rPr>
        <w:rFonts w:hint="eastAsia" w:ascii="Microsoft JhengHei" w:hAnsi="宋体" w:eastAsia="Microsoft JhengHei"/>
        <w:b/>
        <w:color w:val="000000" w:themeColor="text1"/>
        <w:sz w:val="52"/>
        <w:szCs w:val="52"/>
        <w14:textFill>
          <w14:solidFill>
            <w14:schemeClr w14:val="tx1"/>
          </w14:solidFill>
        </w14:textFil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line="360" w:lineRule="auto"/>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36EA"/>
    <w:multiLevelType w:val="singleLevel"/>
    <w:tmpl w:val="1D0E36EA"/>
    <w:lvl w:ilvl="0" w:tentative="0">
      <w:start w:val="7"/>
      <w:numFmt w:val="decimal"/>
      <w:suff w:val="nothing"/>
      <w:lvlText w:val="%1、"/>
      <w:lvlJc w:val="left"/>
    </w:lvl>
  </w:abstractNum>
  <w:abstractNum w:abstractNumId="1">
    <w:nsid w:val="3F983CBB"/>
    <w:multiLevelType w:val="singleLevel"/>
    <w:tmpl w:val="3F983CBB"/>
    <w:lvl w:ilvl="0" w:tentative="0">
      <w:start w:val="6"/>
      <w:numFmt w:val="decimal"/>
      <w:suff w:val="nothing"/>
      <w:lvlText w:val="%1、"/>
      <w:lvlJc w:val="left"/>
    </w:lvl>
  </w:abstractNum>
  <w:abstractNum w:abstractNumId="2">
    <w:nsid w:val="759490E5"/>
    <w:multiLevelType w:val="singleLevel"/>
    <w:tmpl w:val="759490E5"/>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17"/>
    <w:rsid w:val="00006B22"/>
    <w:rsid w:val="00075A63"/>
    <w:rsid w:val="000B347C"/>
    <w:rsid w:val="000D42F3"/>
    <w:rsid w:val="000F1F70"/>
    <w:rsid w:val="001228E0"/>
    <w:rsid w:val="00186C27"/>
    <w:rsid w:val="00195DAB"/>
    <w:rsid w:val="001A5054"/>
    <w:rsid w:val="001E236D"/>
    <w:rsid w:val="00300E51"/>
    <w:rsid w:val="00361F43"/>
    <w:rsid w:val="003F53EC"/>
    <w:rsid w:val="00496C34"/>
    <w:rsid w:val="004E4A4F"/>
    <w:rsid w:val="00511917"/>
    <w:rsid w:val="00580149"/>
    <w:rsid w:val="00592E82"/>
    <w:rsid w:val="005C41EA"/>
    <w:rsid w:val="007107A3"/>
    <w:rsid w:val="007156A1"/>
    <w:rsid w:val="00771F62"/>
    <w:rsid w:val="00817674"/>
    <w:rsid w:val="008F11B9"/>
    <w:rsid w:val="00923B1C"/>
    <w:rsid w:val="00956B0F"/>
    <w:rsid w:val="009A6EAD"/>
    <w:rsid w:val="009C65AA"/>
    <w:rsid w:val="00A11760"/>
    <w:rsid w:val="00A736AD"/>
    <w:rsid w:val="00A965A3"/>
    <w:rsid w:val="00B22928"/>
    <w:rsid w:val="00B668F2"/>
    <w:rsid w:val="00B92FC9"/>
    <w:rsid w:val="00B94EBF"/>
    <w:rsid w:val="00B96BF9"/>
    <w:rsid w:val="00BC6782"/>
    <w:rsid w:val="00BF1F4D"/>
    <w:rsid w:val="00C203C2"/>
    <w:rsid w:val="00C91014"/>
    <w:rsid w:val="00CF297C"/>
    <w:rsid w:val="00D12917"/>
    <w:rsid w:val="00D53DFA"/>
    <w:rsid w:val="00E00915"/>
    <w:rsid w:val="00E1362A"/>
    <w:rsid w:val="00E24CFA"/>
    <w:rsid w:val="00EC4383"/>
    <w:rsid w:val="00EC67EB"/>
    <w:rsid w:val="00F465F7"/>
    <w:rsid w:val="00FA1B6D"/>
    <w:rsid w:val="0142635B"/>
    <w:rsid w:val="018E2666"/>
    <w:rsid w:val="01E90C1A"/>
    <w:rsid w:val="022914F5"/>
    <w:rsid w:val="02964717"/>
    <w:rsid w:val="031F1ED7"/>
    <w:rsid w:val="03E51059"/>
    <w:rsid w:val="045147B7"/>
    <w:rsid w:val="066900F1"/>
    <w:rsid w:val="081E3922"/>
    <w:rsid w:val="0A164DF2"/>
    <w:rsid w:val="0C0748FA"/>
    <w:rsid w:val="0D81744C"/>
    <w:rsid w:val="0DF846EA"/>
    <w:rsid w:val="10082EC4"/>
    <w:rsid w:val="11EB660A"/>
    <w:rsid w:val="14DA48CC"/>
    <w:rsid w:val="15CF31E9"/>
    <w:rsid w:val="15F31270"/>
    <w:rsid w:val="16280BCF"/>
    <w:rsid w:val="16CE2339"/>
    <w:rsid w:val="192A0C5D"/>
    <w:rsid w:val="195F67E9"/>
    <w:rsid w:val="1A8E02BB"/>
    <w:rsid w:val="1C1612ED"/>
    <w:rsid w:val="1D533F31"/>
    <w:rsid w:val="1DA409B5"/>
    <w:rsid w:val="1DAC06BE"/>
    <w:rsid w:val="1EBF29F1"/>
    <w:rsid w:val="202C1B17"/>
    <w:rsid w:val="22717A2D"/>
    <w:rsid w:val="23A34F07"/>
    <w:rsid w:val="23AC391C"/>
    <w:rsid w:val="23E26A6D"/>
    <w:rsid w:val="29902A1D"/>
    <w:rsid w:val="2A1B0777"/>
    <w:rsid w:val="2AF03C82"/>
    <w:rsid w:val="2B4F4EC7"/>
    <w:rsid w:val="2BEB11BA"/>
    <w:rsid w:val="2BFF07E9"/>
    <w:rsid w:val="2E05402D"/>
    <w:rsid w:val="31786BBF"/>
    <w:rsid w:val="319D09CE"/>
    <w:rsid w:val="31E60DA1"/>
    <w:rsid w:val="322D10CF"/>
    <w:rsid w:val="328276E1"/>
    <w:rsid w:val="345135F5"/>
    <w:rsid w:val="35F97252"/>
    <w:rsid w:val="3602389C"/>
    <w:rsid w:val="3763709A"/>
    <w:rsid w:val="389A5EDC"/>
    <w:rsid w:val="3A2F135B"/>
    <w:rsid w:val="3B416485"/>
    <w:rsid w:val="3BC27A60"/>
    <w:rsid w:val="3C033F1F"/>
    <w:rsid w:val="3C2C5489"/>
    <w:rsid w:val="3D11419B"/>
    <w:rsid w:val="3D251DDC"/>
    <w:rsid w:val="3D3810EB"/>
    <w:rsid w:val="3EEA31DB"/>
    <w:rsid w:val="41245763"/>
    <w:rsid w:val="43476B02"/>
    <w:rsid w:val="463E3028"/>
    <w:rsid w:val="46880682"/>
    <w:rsid w:val="481C4399"/>
    <w:rsid w:val="49580AA2"/>
    <w:rsid w:val="498003BA"/>
    <w:rsid w:val="4AC5433F"/>
    <w:rsid w:val="4AD93B3E"/>
    <w:rsid w:val="4BD30E27"/>
    <w:rsid w:val="4E4620E1"/>
    <w:rsid w:val="4E5B31F3"/>
    <w:rsid w:val="4F513FDC"/>
    <w:rsid w:val="50854CCB"/>
    <w:rsid w:val="51A07ADB"/>
    <w:rsid w:val="540A1938"/>
    <w:rsid w:val="56E3751D"/>
    <w:rsid w:val="58DF6C9A"/>
    <w:rsid w:val="5D7040F5"/>
    <w:rsid w:val="60C162C2"/>
    <w:rsid w:val="62390248"/>
    <w:rsid w:val="644E17E9"/>
    <w:rsid w:val="64B26F7C"/>
    <w:rsid w:val="66E67AEC"/>
    <w:rsid w:val="67567752"/>
    <w:rsid w:val="67CE0850"/>
    <w:rsid w:val="6B3C5BE4"/>
    <w:rsid w:val="6BB049E3"/>
    <w:rsid w:val="6C7C0BB3"/>
    <w:rsid w:val="6C9171EA"/>
    <w:rsid w:val="6EFE221F"/>
    <w:rsid w:val="70DB2DDB"/>
    <w:rsid w:val="70FF3FC9"/>
    <w:rsid w:val="7A4B131D"/>
    <w:rsid w:val="7A776554"/>
    <w:rsid w:val="7E130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name="toc 4"/>
    <w:lsdException w:qFormat="1" w:uiPriority="39" w:name="toc 5"/>
    <w:lsdException w:qFormat="1" w:uiPriority="39" w:name="toc 6"/>
    <w:lsdException w:qFormat="1" w:uiPriority="39" w:name="toc 7"/>
    <w:lsdException w:qFormat="1"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4"/>
    <w:qFormat/>
    <w:uiPriority w:val="0"/>
    <w:pPr>
      <w:keepNext/>
      <w:keepLines/>
      <w:spacing w:before="340" w:after="330" w:line="578" w:lineRule="auto"/>
      <w:outlineLvl w:val="0"/>
    </w:pPr>
    <w:rPr>
      <w:b/>
      <w:kern w:val="44"/>
      <w:sz w:val="44"/>
    </w:rPr>
  </w:style>
  <w:style w:type="paragraph" w:styleId="4">
    <w:name w:val="heading 2"/>
    <w:basedOn w:val="1"/>
    <w:next w:val="1"/>
    <w:link w:val="35"/>
    <w:qFormat/>
    <w:uiPriority w:val="0"/>
    <w:pPr>
      <w:keepNext/>
      <w:keepLines/>
      <w:spacing w:before="260" w:after="260" w:line="416" w:lineRule="auto"/>
      <w:outlineLvl w:val="1"/>
    </w:pPr>
    <w:rPr>
      <w:rFonts w:ascii="黑体" w:hAnsi="Arial" w:eastAsia="黑体"/>
      <w:b/>
      <w:sz w:val="28"/>
    </w:rPr>
  </w:style>
  <w:style w:type="paragraph" w:styleId="5">
    <w:name w:val="heading 3"/>
    <w:basedOn w:val="1"/>
    <w:next w:val="1"/>
    <w:link w:val="36"/>
    <w:qFormat/>
    <w:uiPriority w:val="0"/>
    <w:pPr>
      <w:keepNext/>
      <w:keepLines/>
      <w:spacing w:before="260" w:after="260" w:line="416" w:lineRule="auto"/>
      <w:outlineLvl w:val="2"/>
    </w:pPr>
    <w:rPr>
      <w:b/>
      <w:sz w:val="32"/>
    </w:rPr>
  </w:style>
  <w:style w:type="paragraph" w:styleId="6">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qFormat/>
    <w:uiPriority w:val="0"/>
    <w:pPr>
      <w:keepNext/>
      <w:keepLines/>
      <w:spacing w:before="280" w:after="290" w:line="376" w:lineRule="auto"/>
      <w:outlineLvl w:val="4"/>
    </w:pPr>
    <w:rPr>
      <w:b/>
      <w:bCs/>
      <w:sz w:val="28"/>
      <w:szCs w:val="28"/>
    </w:rPr>
  </w:style>
  <w:style w:type="paragraph" w:styleId="8">
    <w:name w:val="heading 6"/>
    <w:basedOn w:val="1"/>
    <w:next w:val="1"/>
    <w:link w:val="39"/>
    <w:qFormat/>
    <w:uiPriority w:val="0"/>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40"/>
    <w:qFormat/>
    <w:uiPriority w:val="0"/>
    <w:pPr>
      <w:keepNext/>
      <w:keepLines/>
      <w:spacing w:before="240" w:after="64" w:line="320" w:lineRule="auto"/>
      <w:outlineLvl w:val="6"/>
    </w:pPr>
    <w:rPr>
      <w:b/>
      <w:bCs/>
      <w:sz w:val="24"/>
      <w:szCs w:val="24"/>
    </w:rPr>
  </w:style>
  <w:style w:type="paragraph" w:styleId="10">
    <w:name w:val="heading 8"/>
    <w:basedOn w:val="1"/>
    <w:next w:val="1"/>
    <w:link w:val="41"/>
    <w:qFormat/>
    <w:uiPriority w:val="0"/>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42"/>
    <w:qFormat/>
    <w:uiPriority w:val="0"/>
    <w:pPr>
      <w:keepNext/>
      <w:keepLines/>
      <w:spacing w:before="240" w:after="64" w:line="320" w:lineRule="auto"/>
      <w:outlineLvl w:val="8"/>
    </w:pPr>
    <w:rPr>
      <w:rFonts w:ascii="Arial" w:hAnsi="Arial" w:eastAsia="黑体"/>
      <w:szCs w:val="21"/>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0"/>
    <w:pPr>
      <w:adjustRightInd w:val="0"/>
      <w:snapToGrid w:val="0"/>
      <w:ind w:firstLine="0" w:firstLineChars="0"/>
      <w:jc w:val="left"/>
    </w:pPr>
    <w:rPr>
      <w:rFonts w:ascii="Times New Roman" w:hAnsi="Times New Roman" w:cs="Times New Roman"/>
      <w:sz w:val="21"/>
      <w:szCs w:val="24"/>
    </w:rPr>
  </w:style>
  <w:style w:type="paragraph" w:styleId="12">
    <w:name w:val="Normal Indent"/>
    <w:basedOn w:val="1"/>
    <w:qFormat/>
    <w:uiPriority w:val="0"/>
    <w:pPr>
      <w:ind w:firstLine="420"/>
    </w:pPr>
  </w:style>
  <w:style w:type="paragraph" w:styleId="13">
    <w:name w:val="Document Map"/>
    <w:basedOn w:val="1"/>
    <w:link w:val="67"/>
    <w:qFormat/>
    <w:uiPriority w:val="0"/>
    <w:pPr>
      <w:shd w:val="clear" w:color="auto" w:fill="000080"/>
    </w:pPr>
  </w:style>
  <w:style w:type="paragraph" w:styleId="14">
    <w:name w:val="annotation text"/>
    <w:basedOn w:val="1"/>
    <w:link w:val="63"/>
    <w:unhideWhenUsed/>
    <w:qFormat/>
    <w:uiPriority w:val="99"/>
    <w:pPr>
      <w:jc w:val="left"/>
    </w:pPr>
  </w:style>
  <w:style w:type="paragraph" w:styleId="15">
    <w:name w:val="Body Text 3"/>
    <w:basedOn w:val="1"/>
    <w:link w:val="68"/>
    <w:qFormat/>
    <w:uiPriority w:val="0"/>
    <w:rPr>
      <w:rFonts w:ascii="宋体" w:hAnsi="宋体"/>
      <w:sz w:val="28"/>
    </w:rPr>
  </w:style>
  <w:style w:type="paragraph" w:styleId="16">
    <w:name w:val="Body Text"/>
    <w:basedOn w:val="1"/>
    <w:link w:val="66"/>
    <w:qFormat/>
    <w:uiPriority w:val="0"/>
    <w:pPr>
      <w:ind w:right="210" w:rightChars="100"/>
    </w:pPr>
    <w:rPr>
      <w:rFonts w:ascii="宋体" w:hAnsi="宋体"/>
      <w:sz w:val="32"/>
    </w:rPr>
  </w:style>
  <w:style w:type="paragraph" w:styleId="17">
    <w:name w:val="Body Text Indent"/>
    <w:basedOn w:val="1"/>
    <w:link w:val="62"/>
    <w:qFormat/>
    <w:uiPriority w:val="0"/>
    <w:pPr>
      <w:tabs>
        <w:tab w:val="left" w:pos="-105"/>
      </w:tabs>
      <w:ind w:firstLine="630"/>
    </w:pPr>
    <w:rPr>
      <w:rFonts w:ascii="楷体_GB2312" w:eastAsia="楷体_GB2312"/>
      <w:sz w:val="32"/>
    </w:rPr>
  </w:style>
  <w:style w:type="paragraph" w:styleId="18">
    <w:name w:val="toc 3"/>
    <w:basedOn w:val="1"/>
    <w:next w:val="1"/>
    <w:qFormat/>
    <w:uiPriority w:val="39"/>
    <w:pPr>
      <w:ind w:left="420"/>
      <w:jc w:val="left"/>
    </w:pPr>
    <w:rPr>
      <w:i/>
      <w:iCs/>
      <w:szCs w:val="24"/>
    </w:rPr>
  </w:style>
  <w:style w:type="paragraph" w:styleId="19">
    <w:name w:val="Plain Text"/>
    <w:basedOn w:val="1"/>
    <w:link w:val="64"/>
    <w:qFormat/>
    <w:uiPriority w:val="99"/>
    <w:rPr>
      <w:rFonts w:ascii="宋体" w:hAnsi="Courier New" w:cs="Courier New"/>
      <w:szCs w:val="21"/>
    </w:rPr>
  </w:style>
  <w:style w:type="paragraph" w:styleId="20">
    <w:name w:val="Date"/>
    <w:basedOn w:val="1"/>
    <w:next w:val="1"/>
    <w:link w:val="65"/>
    <w:qFormat/>
    <w:uiPriority w:val="0"/>
    <w:pPr>
      <w:ind w:left="100" w:leftChars="2500"/>
    </w:pPr>
    <w:rPr>
      <w:rFonts w:ascii="宋体" w:hAnsi="宋体"/>
      <w:color w:val="000000"/>
      <w:sz w:val="32"/>
    </w:rPr>
  </w:style>
  <w:style w:type="paragraph" w:styleId="21">
    <w:name w:val="Body Text Indent 2"/>
    <w:basedOn w:val="1"/>
    <w:link w:val="61"/>
    <w:qFormat/>
    <w:uiPriority w:val="0"/>
    <w:pPr>
      <w:ind w:right="210" w:rightChars="100" w:firstLine="640" w:firstLineChars="200"/>
    </w:pPr>
    <w:rPr>
      <w:rFonts w:ascii="宋体" w:hAnsi="宋体"/>
      <w:sz w:val="32"/>
    </w:rPr>
  </w:style>
  <w:style w:type="paragraph" w:styleId="22">
    <w:name w:val="Balloon Text"/>
    <w:basedOn w:val="1"/>
    <w:link w:val="74"/>
    <w:semiHidden/>
    <w:unhideWhenUsed/>
    <w:qFormat/>
    <w:uiPriority w:val="99"/>
    <w:rPr>
      <w:sz w:val="18"/>
      <w:szCs w:val="18"/>
    </w:rPr>
  </w:style>
  <w:style w:type="paragraph" w:styleId="23">
    <w:name w:val="footer"/>
    <w:basedOn w:val="1"/>
    <w:link w:val="71"/>
    <w:qFormat/>
    <w:uiPriority w:val="99"/>
    <w:pPr>
      <w:tabs>
        <w:tab w:val="center" w:pos="4153"/>
        <w:tab w:val="right" w:pos="8306"/>
      </w:tabs>
      <w:snapToGrid w:val="0"/>
      <w:jc w:val="left"/>
    </w:pPr>
    <w:rPr>
      <w:sz w:val="18"/>
      <w:szCs w:val="18"/>
    </w:rPr>
  </w:style>
  <w:style w:type="paragraph" w:styleId="24">
    <w:name w:val="header"/>
    <w:basedOn w:val="1"/>
    <w:link w:val="72"/>
    <w:qFormat/>
    <w:uiPriority w:val="0"/>
    <w:pPr>
      <w:pBdr>
        <w:bottom w:val="single" w:color="auto" w:sz="6" w:space="1"/>
      </w:pBdr>
      <w:tabs>
        <w:tab w:val="center" w:pos="4153"/>
        <w:tab w:val="right" w:pos="8306"/>
      </w:tabs>
      <w:snapToGrid w:val="0"/>
      <w:jc w:val="center"/>
    </w:pPr>
    <w:rPr>
      <w:sz w:val="18"/>
    </w:rPr>
  </w:style>
  <w:style w:type="paragraph" w:styleId="25">
    <w:name w:val="toc 1"/>
    <w:basedOn w:val="1"/>
    <w:next w:val="1"/>
    <w:qFormat/>
    <w:uiPriority w:val="39"/>
    <w:pPr>
      <w:tabs>
        <w:tab w:val="right" w:leader="dot" w:pos="8494"/>
      </w:tabs>
      <w:spacing w:before="120" w:after="120"/>
      <w:jc w:val="left"/>
    </w:pPr>
    <w:rPr>
      <w:b/>
      <w:bCs/>
      <w:caps/>
      <w:sz w:val="30"/>
      <w:szCs w:val="30"/>
    </w:rPr>
  </w:style>
  <w:style w:type="paragraph" w:styleId="26">
    <w:name w:val="Body Text Indent 3"/>
    <w:basedOn w:val="1"/>
    <w:link w:val="69"/>
    <w:qFormat/>
    <w:uiPriority w:val="0"/>
    <w:pPr>
      <w:ind w:firstLine="600" w:firstLineChars="200"/>
    </w:pPr>
    <w:rPr>
      <w:rFonts w:ascii="宋体" w:hAnsi="宋体"/>
      <w:sz w:val="30"/>
    </w:rPr>
  </w:style>
  <w:style w:type="paragraph" w:styleId="27">
    <w:name w:val="toc 2"/>
    <w:basedOn w:val="1"/>
    <w:next w:val="1"/>
    <w:qFormat/>
    <w:uiPriority w:val="39"/>
    <w:pPr>
      <w:ind w:left="210"/>
      <w:jc w:val="left"/>
    </w:pPr>
    <w:rPr>
      <w:smallCaps/>
      <w:sz w:val="24"/>
      <w:szCs w:val="24"/>
    </w:rPr>
  </w:style>
  <w:style w:type="paragraph" w:styleId="28">
    <w:name w:val="Body Text 2"/>
    <w:basedOn w:val="1"/>
    <w:link w:val="73"/>
    <w:qFormat/>
    <w:uiPriority w:val="0"/>
    <w:rPr>
      <w:rFonts w:ascii="宋体" w:hAnsi="宋体"/>
      <w:color w:val="FF0000"/>
      <w:sz w:val="30"/>
    </w:rPr>
  </w:style>
  <w:style w:type="paragraph" w:styleId="29">
    <w:name w:val="HTML Preformatted"/>
    <w:basedOn w:val="1"/>
    <w:link w:val="7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0">
    <w:name w:val="Normal (Web)"/>
    <w:basedOn w:val="1"/>
    <w:qFormat/>
    <w:uiPriority w:val="0"/>
    <w:pPr>
      <w:widowControl/>
      <w:spacing w:before="100" w:beforeAutospacing="1" w:after="100" w:afterAutospacing="1"/>
      <w:jc w:val="left"/>
    </w:pPr>
    <w:rPr>
      <w:rFonts w:ascii="宋体" w:hAnsi="宋体" w:cs="宋体"/>
      <w:sz w:val="24"/>
      <w:szCs w:val="24"/>
    </w:rPr>
  </w:style>
  <w:style w:type="character" w:styleId="33">
    <w:name w:val="Hyperlink"/>
    <w:basedOn w:val="32"/>
    <w:qFormat/>
    <w:uiPriority w:val="99"/>
    <w:rPr>
      <w:color w:val="0000FF"/>
      <w:u w:val="single"/>
    </w:rPr>
  </w:style>
  <w:style w:type="character" w:customStyle="1" w:styleId="34">
    <w:name w:val="标题 1 Char"/>
    <w:basedOn w:val="32"/>
    <w:link w:val="3"/>
    <w:qFormat/>
    <w:uiPriority w:val="0"/>
    <w:rPr>
      <w:rFonts w:ascii="Times New Roman" w:hAnsi="Times New Roman" w:eastAsia="宋体" w:cs="Times New Roman"/>
      <w:b/>
      <w:kern w:val="44"/>
      <w:sz w:val="44"/>
      <w:szCs w:val="20"/>
    </w:rPr>
  </w:style>
  <w:style w:type="character" w:customStyle="1" w:styleId="35">
    <w:name w:val="标题 2 Char"/>
    <w:basedOn w:val="32"/>
    <w:link w:val="4"/>
    <w:qFormat/>
    <w:uiPriority w:val="0"/>
    <w:rPr>
      <w:rFonts w:ascii="黑体" w:hAnsi="Arial" w:eastAsia="黑体" w:cs="Times New Roman"/>
      <w:b/>
      <w:sz w:val="28"/>
      <w:szCs w:val="20"/>
    </w:rPr>
  </w:style>
  <w:style w:type="character" w:customStyle="1" w:styleId="36">
    <w:name w:val="标题 3 Char"/>
    <w:basedOn w:val="32"/>
    <w:link w:val="5"/>
    <w:qFormat/>
    <w:uiPriority w:val="0"/>
    <w:rPr>
      <w:rFonts w:ascii="Times New Roman" w:hAnsi="Times New Roman" w:eastAsia="宋体" w:cs="Times New Roman"/>
      <w:b/>
      <w:sz w:val="32"/>
      <w:szCs w:val="20"/>
    </w:rPr>
  </w:style>
  <w:style w:type="character" w:customStyle="1" w:styleId="37">
    <w:name w:val="标题 4 Char"/>
    <w:basedOn w:val="32"/>
    <w:link w:val="6"/>
    <w:qFormat/>
    <w:uiPriority w:val="0"/>
    <w:rPr>
      <w:rFonts w:ascii="Arial" w:hAnsi="Arial" w:eastAsia="黑体" w:cs="Times New Roman"/>
      <w:b/>
      <w:bCs/>
      <w:sz w:val="28"/>
      <w:szCs w:val="28"/>
    </w:rPr>
  </w:style>
  <w:style w:type="character" w:customStyle="1" w:styleId="38">
    <w:name w:val="标题 5 Char"/>
    <w:basedOn w:val="32"/>
    <w:link w:val="7"/>
    <w:qFormat/>
    <w:uiPriority w:val="0"/>
    <w:rPr>
      <w:rFonts w:ascii="Times New Roman" w:hAnsi="Times New Roman" w:eastAsia="宋体" w:cs="Times New Roman"/>
      <w:b/>
      <w:bCs/>
      <w:sz w:val="28"/>
      <w:szCs w:val="28"/>
    </w:rPr>
  </w:style>
  <w:style w:type="character" w:customStyle="1" w:styleId="39">
    <w:name w:val="标题 6 Char"/>
    <w:basedOn w:val="32"/>
    <w:link w:val="8"/>
    <w:qFormat/>
    <w:uiPriority w:val="0"/>
    <w:rPr>
      <w:rFonts w:ascii="Arial" w:hAnsi="Arial" w:eastAsia="黑体" w:cs="Times New Roman"/>
      <w:b/>
      <w:bCs/>
      <w:sz w:val="24"/>
      <w:szCs w:val="24"/>
    </w:rPr>
  </w:style>
  <w:style w:type="character" w:customStyle="1" w:styleId="40">
    <w:name w:val="标题 7 Char"/>
    <w:basedOn w:val="32"/>
    <w:link w:val="9"/>
    <w:qFormat/>
    <w:uiPriority w:val="0"/>
    <w:rPr>
      <w:rFonts w:ascii="Times New Roman" w:hAnsi="Times New Roman" w:eastAsia="宋体" w:cs="Times New Roman"/>
      <w:b/>
      <w:bCs/>
      <w:sz w:val="24"/>
      <w:szCs w:val="24"/>
    </w:rPr>
  </w:style>
  <w:style w:type="character" w:customStyle="1" w:styleId="41">
    <w:name w:val="标题 8 Char"/>
    <w:basedOn w:val="32"/>
    <w:link w:val="10"/>
    <w:qFormat/>
    <w:uiPriority w:val="0"/>
    <w:rPr>
      <w:rFonts w:ascii="Arial" w:hAnsi="Arial" w:eastAsia="黑体" w:cs="Times New Roman"/>
      <w:sz w:val="24"/>
      <w:szCs w:val="24"/>
    </w:rPr>
  </w:style>
  <w:style w:type="character" w:customStyle="1" w:styleId="42">
    <w:name w:val="标题 9 Char"/>
    <w:basedOn w:val="32"/>
    <w:link w:val="11"/>
    <w:qFormat/>
    <w:uiPriority w:val="0"/>
    <w:rPr>
      <w:rFonts w:ascii="Arial" w:hAnsi="Arial" w:eastAsia="黑体" w:cs="Times New Roman"/>
      <w:szCs w:val="21"/>
    </w:rPr>
  </w:style>
  <w:style w:type="character" w:customStyle="1" w:styleId="43">
    <w:name w:val="正文文本缩进 2 Char"/>
    <w:basedOn w:val="32"/>
    <w:link w:val="21"/>
    <w:qFormat/>
    <w:uiPriority w:val="0"/>
    <w:rPr>
      <w:rFonts w:ascii="宋体" w:hAnsi="宋体" w:eastAsia="宋体" w:cs="Times New Roman"/>
      <w:sz w:val="32"/>
      <w:szCs w:val="20"/>
    </w:rPr>
  </w:style>
  <w:style w:type="character" w:customStyle="1" w:styleId="44">
    <w:name w:val="正文文本 Char"/>
    <w:basedOn w:val="32"/>
    <w:link w:val="16"/>
    <w:qFormat/>
    <w:uiPriority w:val="0"/>
    <w:rPr>
      <w:rFonts w:ascii="宋体" w:hAnsi="宋体" w:eastAsia="宋体" w:cs="Times New Roman"/>
      <w:sz w:val="32"/>
      <w:szCs w:val="20"/>
    </w:rPr>
  </w:style>
  <w:style w:type="character" w:customStyle="1" w:styleId="45">
    <w:name w:val="正文文本 3 Char"/>
    <w:basedOn w:val="32"/>
    <w:link w:val="15"/>
    <w:qFormat/>
    <w:uiPriority w:val="0"/>
    <w:rPr>
      <w:rFonts w:ascii="宋体" w:hAnsi="宋体" w:eastAsia="宋体" w:cs="Times New Roman"/>
      <w:sz w:val="28"/>
      <w:szCs w:val="20"/>
    </w:rPr>
  </w:style>
  <w:style w:type="character" w:customStyle="1" w:styleId="46">
    <w:name w:val="日期 Char"/>
    <w:basedOn w:val="32"/>
    <w:link w:val="20"/>
    <w:qFormat/>
    <w:uiPriority w:val="0"/>
    <w:rPr>
      <w:rFonts w:ascii="宋体" w:hAnsi="宋体" w:eastAsia="宋体" w:cs="Times New Roman"/>
      <w:color w:val="000000"/>
      <w:sz w:val="32"/>
      <w:szCs w:val="20"/>
    </w:rPr>
  </w:style>
  <w:style w:type="character" w:customStyle="1" w:styleId="47">
    <w:name w:val="样式1 Char Char"/>
    <w:basedOn w:val="32"/>
    <w:link w:val="48"/>
    <w:qFormat/>
    <w:uiPriority w:val="0"/>
    <w:rPr>
      <w:rFonts w:ascii="宋体" w:hAnsi="宋体" w:eastAsia="宋体"/>
      <w:sz w:val="30"/>
    </w:rPr>
  </w:style>
  <w:style w:type="paragraph" w:customStyle="1" w:styleId="48">
    <w:name w:val="样式1"/>
    <w:basedOn w:val="1"/>
    <w:link w:val="47"/>
    <w:qFormat/>
    <w:uiPriority w:val="0"/>
    <w:pPr>
      <w:widowControl/>
      <w:ind w:firstLine="200" w:firstLineChars="200"/>
      <w:jc w:val="left"/>
    </w:pPr>
    <w:rPr>
      <w:rFonts w:ascii="宋体" w:hAnsi="宋体" w:cstheme="minorBidi"/>
      <w:sz w:val="30"/>
      <w:szCs w:val="22"/>
    </w:rPr>
  </w:style>
  <w:style w:type="character" w:customStyle="1" w:styleId="49">
    <w:name w:val="页眉 Char"/>
    <w:basedOn w:val="32"/>
    <w:link w:val="24"/>
    <w:qFormat/>
    <w:uiPriority w:val="0"/>
    <w:rPr>
      <w:rFonts w:ascii="Times New Roman" w:hAnsi="Times New Roman" w:eastAsia="宋体" w:cs="Times New Roman"/>
      <w:sz w:val="18"/>
      <w:szCs w:val="20"/>
    </w:rPr>
  </w:style>
  <w:style w:type="character" w:customStyle="1" w:styleId="50">
    <w:name w:val="HTML 预设格式 Char"/>
    <w:basedOn w:val="32"/>
    <w:link w:val="29"/>
    <w:qFormat/>
    <w:uiPriority w:val="99"/>
    <w:rPr>
      <w:rFonts w:ascii="宋体" w:hAnsi="宋体" w:eastAsia="宋体" w:cs="宋体"/>
      <w:kern w:val="0"/>
      <w:sz w:val="24"/>
      <w:szCs w:val="24"/>
    </w:rPr>
  </w:style>
  <w:style w:type="character" w:customStyle="1" w:styleId="51">
    <w:name w:val="正文文本缩进 Char"/>
    <w:basedOn w:val="32"/>
    <w:link w:val="17"/>
    <w:qFormat/>
    <w:uiPriority w:val="0"/>
    <w:rPr>
      <w:rFonts w:ascii="楷体_GB2312" w:hAnsi="Times New Roman" w:eastAsia="楷体_GB2312" w:cs="Times New Roman"/>
      <w:sz w:val="32"/>
      <w:szCs w:val="20"/>
    </w:rPr>
  </w:style>
  <w:style w:type="character" w:customStyle="1" w:styleId="52">
    <w:name w:val="文档结构图 Char"/>
    <w:basedOn w:val="32"/>
    <w:link w:val="13"/>
    <w:qFormat/>
    <w:uiPriority w:val="0"/>
    <w:rPr>
      <w:rFonts w:ascii="Times New Roman" w:hAnsi="Times New Roman" w:eastAsia="宋体" w:cs="Times New Roman"/>
      <w:szCs w:val="20"/>
      <w:shd w:val="clear" w:color="auto" w:fill="000080"/>
    </w:rPr>
  </w:style>
  <w:style w:type="character" w:customStyle="1" w:styleId="53">
    <w:name w:val="纯文本 Char"/>
    <w:basedOn w:val="32"/>
    <w:link w:val="19"/>
    <w:qFormat/>
    <w:uiPriority w:val="99"/>
    <w:rPr>
      <w:rFonts w:ascii="宋体" w:hAnsi="Courier New" w:eastAsia="宋体" w:cs="Courier New"/>
      <w:szCs w:val="21"/>
    </w:rPr>
  </w:style>
  <w:style w:type="character" w:customStyle="1" w:styleId="54">
    <w:name w:val="正文文本缩进 3 Char"/>
    <w:basedOn w:val="32"/>
    <w:link w:val="26"/>
    <w:qFormat/>
    <w:uiPriority w:val="0"/>
    <w:rPr>
      <w:rFonts w:ascii="宋体" w:hAnsi="宋体" w:eastAsia="宋体" w:cs="Times New Roman"/>
      <w:sz w:val="30"/>
      <w:szCs w:val="20"/>
    </w:rPr>
  </w:style>
  <w:style w:type="character" w:customStyle="1" w:styleId="55">
    <w:name w:val="页脚 Char1"/>
    <w:basedOn w:val="32"/>
    <w:link w:val="23"/>
    <w:qFormat/>
    <w:uiPriority w:val="99"/>
    <w:rPr>
      <w:rFonts w:ascii="Times New Roman" w:hAnsi="Times New Roman" w:eastAsia="宋体" w:cs="Times New Roman"/>
      <w:sz w:val="18"/>
      <w:szCs w:val="18"/>
    </w:rPr>
  </w:style>
  <w:style w:type="character" w:customStyle="1" w:styleId="56">
    <w:name w:val="正文文本 2 Char"/>
    <w:basedOn w:val="32"/>
    <w:link w:val="28"/>
    <w:qFormat/>
    <w:uiPriority w:val="0"/>
    <w:rPr>
      <w:rFonts w:ascii="宋体" w:hAnsi="宋体" w:eastAsia="宋体" w:cs="Times New Roman"/>
      <w:color w:val="FF0000"/>
      <w:sz w:val="30"/>
      <w:szCs w:val="20"/>
    </w:rPr>
  </w:style>
  <w:style w:type="character" w:customStyle="1" w:styleId="57">
    <w:name w:val="样式 宋体 四号 首行缩进:  1.06 厘米 Char"/>
    <w:basedOn w:val="32"/>
    <w:link w:val="58"/>
    <w:qFormat/>
    <w:uiPriority w:val="0"/>
    <w:rPr>
      <w:rFonts w:ascii="宋体" w:hAnsi="宋体" w:eastAsia="宋体" w:cs="宋体"/>
      <w:sz w:val="28"/>
    </w:rPr>
  </w:style>
  <w:style w:type="paragraph" w:customStyle="1" w:styleId="58">
    <w:name w:val="样式 宋体 四号 首行缩进:  1.06 厘米"/>
    <w:basedOn w:val="1"/>
    <w:link w:val="57"/>
    <w:qFormat/>
    <w:uiPriority w:val="0"/>
    <w:pPr>
      <w:ind w:firstLine="600"/>
    </w:pPr>
    <w:rPr>
      <w:rFonts w:ascii="宋体" w:hAnsi="宋体" w:cs="宋体"/>
      <w:sz w:val="28"/>
      <w:szCs w:val="22"/>
    </w:rPr>
  </w:style>
  <w:style w:type="character" w:customStyle="1" w:styleId="59">
    <w:name w:val="样式 标题 2 + 黑体 Char"/>
    <w:basedOn w:val="32"/>
    <w:link w:val="60"/>
    <w:qFormat/>
    <w:uiPriority w:val="0"/>
    <w:rPr>
      <w:rFonts w:ascii="黑体" w:hAnsi="黑体" w:eastAsia="黑体"/>
      <w:b/>
      <w:bCs/>
      <w:sz w:val="30"/>
      <w:szCs w:val="32"/>
    </w:rPr>
  </w:style>
  <w:style w:type="paragraph" w:customStyle="1" w:styleId="60">
    <w:name w:val="样式 标题 2 + 黑体"/>
    <w:basedOn w:val="4"/>
    <w:link w:val="59"/>
    <w:qFormat/>
    <w:uiPriority w:val="0"/>
    <w:pPr>
      <w:spacing w:before="120" w:after="120"/>
    </w:pPr>
    <w:rPr>
      <w:rFonts w:hAnsi="黑体" w:cstheme="minorBidi"/>
      <w:bCs/>
      <w:sz w:val="30"/>
      <w:szCs w:val="32"/>
    </w:rPr>
  </w:style>
  <w:style w:type="character" w:customStyle="1" w:styleId="61">
    <w:name w:val="正文文本缩进 2 Char1"/>
    <w:basedOn w:val="32"/>
    <w:link w:val="21"/>
    <w:semiHidden/>
    <w:qFormat/>
    <w:uiPriority w:val="99"/>
    <w:rPr>
      <w:rFonts w:ascii="Times New Roman" w:hAnsi="Times New Roman" w:eastAsia="宋体" w:cs="Times New Roman"/>
      <w:szCs w:val="20"/>
    </w:rPr>
  </w:style>
  <w:style w:type="character" w:customStyle="1" w:styleId="62">
    <w:name w:val="正文文本缩进 Char1"/>
    <w:basedOn w:val="32"/>
    <w:link w:val="17"/>
    <w:semiHidden/>
    <w:qFormat/>
    <w:uiPriority w:val="99"/>
    <w:rPr>
      <w:rFonts w:ascii="Times New Roman" w:hAnsi="Times New Roman" w:eastAsia="宋体" w:cs="Times New Roman"/>
      <w:szCs w:val="20"/>
    </w:rPr>
  </w:style>
  <w:style w:type="character" w:customStyle="1" w:styleId="63">
    <w:name w:val="批注文字 Char"/>
    <w:basedOn w:val="32"/>
    <w:link w:val="14"/>
    <w:qFormat/>
    <w:uiPriority w:val="99"/>
    <w:rPr>
      <w:rFonts w:ascii="Times New Roman" w:hAnsi="Times New Roman" w:eastAsia="宋体" w:cs="Times New Roman"/>
      <w:szCs w:val="20"/>
    </w:rPr>
  </w:style>
  <w:style w:type="character" w:customStyle="1" w:styleId="64">
    <w:name w:val="纯文本 Char1"/>
    <w:basedOn w:val="32"/>
    <w:link w:val="19"/>
    <w:semiHidden/>
    <w:qFormat/>
    <w:uiPriority w:val="99"/>
    <w:rPr>
      <w:rFonts w:ascii="宋体" w:hAnsi="Courier New" w:eastAsia="宋体" w:cs="Courier New"/>
      <w:szCs w:val="21"/>
    </w:rPr>
  </w:style>
  <w:style w:type="character" w:customStyle="1" w:styleId="65">
    <w:name w:val="日期 Char1"/>
    <w:basedOn w:val="32"/>
    <w:link w:val="20"/>
    <w:semiHidden/>
    <w:qFormat/>
    <w:uiPriority w:val="99"/>
    <w:rPr>
      <w:rFonts w:ascii="Times New Roman" w:hAnsi="Times New Roman" w:eastAsia="宋体" w:cs="Times New Roman"/>
      <w:szCs w:val="20"/>
    </w:rPr>
  </w:style>
  <w:style w:type="character" w:customStyle="1" w:styleId="66">
    <w:name w:val="正文文本 Char1"/>
    <w:basedOn w:val="32"/>
    <w:link w:val="16"/>
    <w:semiHidden/>
    <w:qFormat/>
    <w:uiPriority w:val="99"/>
    <w:rPr>
      <w:rFonts w:ascii="Times New Roman" w:hAnsi="Times New Roman" w:eastAsia="宋体" w:cs="Times New Roman"/>
      <w:szCs w:val="20"/>
    </w:rPr>
  </w:style>
  <w:style w:type="character" w:customStyle="1" w:styleId="67">
    <w:name w:val="文档结构图 Char1"/>
    <w:basedOn w:val="32"/>
    <w:link w:val="13"/>
    <w:semiHidden/>
    <w:qFormat/>
    <w:uiPriority w:val="99"/>
    <w:rPr>
      <w:rFonts w:ascii="宋体" w:hAnsi="Times New Roman" w:eastAsia="宋体" w:cs="Times New Roman"/>
      <w:sz w:val="18"/>
      <w:szCs w:val="18"/>
    </w:rPr>
  </w:style>
  <w:style w:type="character" w:customStyle="1" w:styleId="68">
    <w:name w:val="正文文本 3 Char1"/>
    <w:basedOn w:val="32"/>
    <w:link w:val="15"/>
    <w:semiHidden/>
    <w:qFormat/>
    <w:uiPriority w:val="99"/>
    <w:rPr>
      <w:rFonts w:ascii="Times New Roman" w:hAnsi="Times New Roman" w:eastAsia="宋体" w:cs="Times New Roman"/>
      <w:sz w:val="16"/>
      <w:szCs w:val="16"/>
    </w:rPr>
  </w:style>
  <w:style w:type="character" w:customStyle="1" w:styleId="69">
    <w:name w:val="正文文本缩进 3 Char1"/>
    <w:basedOn w:val="32"/>
    <w:link w:val="26"/>
    <w:semiHidden/>
    <w:qFormat/>
    <w:uiPriority w:val="99"/>
    <w:rPr>
      <w:rFonts w:ascii="Times New Roman" w:hAnsi="Times New Roman" w:eastAsia="宋体" w:cs="Times New Roman"/>
      <w:sz w:val="16"/>
      <w:szCs w:val="16"/>
    </w:rPr>
  </w:style>
  <w:style w:type="character" w:customStyle="1" w:styleId="70">
    <w:name w:val="HTML 预设格式 Char1"/>
    <w:basedOn w:val="32"/>
    <w:link w:val="29"/>
    <w:semiHidden/>
    <w:qFormat/>
    <w:uiPriority w:val="99"/>
    <w:rPr>
      <w:rFonts w:ascii="Courier New" w:hAnsi="Courier New" w:eastAsia="宋体" w:cs="Courier New"/>
      <w:sz w:val="20"/>
      <w:szCs w:val="20"/>
    </w:rPr>
  </w:style>
  <w:style w:type="character" w:customStyle="1" w:styleId="71">
    <w:name w:val="页脚 Char2"/>
    <w:basedOn w:val="32"/>
    <w:link w:val="23"/>
    <w:semiHidden/>
    <w:qFormat/>
    <w:uiPriority w:val="99"/>
    <w:rPr>
      <w:rFonts w:ascii="Times New Roman" w:hAnsi="Times New Roman" w:eastAsia="宋体" w:cs="Times New Roman"/>
      <w:sz w:val="18"/>
      <w:szCs w:val="18"/>
    </w:rPr>
  </w:style>
  <w:style w:type="character" w:customStyle="1" w:styleId="72">
    <w:name w:val="页眉 Char1"/>
    <w:basedOn w:val="32"/>
    <w:link w:val="24"/>
    <w:semiHidden/>
    <w:qFormat/>
    <w:uiPriority w:val="99"/>
    <w:rPr>
      <w:rFonts w:ascii="Times New Roman" w:hAnsi="Times New Roman" w:eastAsia="宋体" w:cs="Times New Roman"/>
      <w:sz w:val="18"/>
      <w:szCs w:val="18"/>
    </w:rPr>
  </w:style>
  <w:style w:type="character" w:customStyle="1" w:styleId="73">
    <w:name w:val="正文文本 2 Char1"/>
    <w:basedOn w:val="32"/>
    <w:link w:val="28"/>
    <w:semiHidden/>
    <w:qFormat/>
    <w:uiPriority w:val="99"/>
    <w:rPr>
      <w:rFonts w:ascii="Times New Roman" w:hAnsi="Times New Roman" w:eastAsia="宋体" w:cs="Times New Roman"/>
      <w:szCs w:val="20"/>
    </w:rPr>
  </w:style>
  <w:style w:type="character" w:customStyle="1" w:styleId="74">
    <w:name w:val="批注框文本 Char"/>
    <w:basedOn w:val="32"/>
    <w:link w:val="22"/>
    <w:semiHidden/>
    <w:qFormat/>
    <w:uiPriority w:val="99"/>
    <w:rPr>
      <w:rFonts w:ascii="Times New Roman" w:hAnsi="Times New Roman" w:eastAsia="宋体" w:cs="Times New Roman"/>
      <w:sz w:val="18"/>
      <w:szCs w:val="18"/>
    </w:rPr>
  </w:style>
  <w:style w:type="paragraph" w:customStyle="1" w:styleId="75">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character" w:customStyle="1" w:styleId="76">
    <w:name w:val="页脚 Char"/>
    <w:basedOn w:val="32"/>
    <w:qFormat/>
    <w:uiPriority w:val="99"/>
    <w:rPr>
      <w:lang w:eastAsia="zh-CN"/>
    </w:rPr>
  </w:style>
  <w:style w:type="paragraph" w:customStyle="1" w:styleId="77">
    <w:name w:val="_Style 8"/>
    <w:basedOn w:val="1"/>
    <w:qFormat/>
    <w:uiPriority w:val="0"/>
    <w:pPr>
      <w:snapToGrid w:val="0"/>
      <w:ind w:firstLine="200" w:firstLineChars="200"/>
    </w:pPr>
    <w:rPr>
      <w:szCs w:val="24"/>
    </w:rPr>
  </w:style>
  <w:style w:type="paragraph" w:customStyle="1" w:styleId="78">
    <w:name w:val="Normal Indent1"/>
    <w:basedOn w:val="1"/>
    <w:qFormat/>
    <w:uiPriority w:val="99"/>
    <w:pPr>
      <w:ind w:firstLine="420"/>
    </w:pPr>
    <w:rPr>
      <w:rFonts w:ascii="Calibri" w:hAnsi="Calibri" w:cs="黑体"/>
    </w:rPr>
  </w:style>
  <w:style w:type="paragraph" w:customStyle="1" w:styleId="79">
    <w:name w:val="段落正文"/>
    <w:basedOn w:val="1"/>
    <w:qFormat/>
    <w:uiPriority w:val="99"/>
    <w:pPr>
      <w:spacing w:line="300" w:lineRule="auto"/>
      <w:ind w:firstLine="482" w:firstLineChars="200"/>
    </w:pPr>
    <w:rPr>
      <w:rFonts w:ascii="Calibri" w:hAnsi="Calibri" w:cs="黑体"/>
      <w:sz w:val="24"/>
      <w:szCs w:val="22"/>
    </w:rPr>
  </w:style>
  <w:style w:type="paragraph" w:customStyle="1" w:styleId="80">
    <w:name w:val="条文"/>
    <w:basedOn w:val="1"/>
    <w:qFormat/>
    <w:uiPriority w:val="99"/>
    <w:pPr>
      <w:spacing w:line="300" w:lineRule="auto"/>
      <w:outlineLvl w:val="2"/>
    </w:pPr>
    <w:rPr>
      <w:rFonts w:ascii="Calibri" w:hAnsi="Calibri" w:cs="黑体"/>
      <w:sz w:val="24"/>
      <w:szCs w:val="22"/>
    </w:rPr>
  </w:style>
  <w:style w:type="paragraph" w:customStyle="1" w:styleId="81">
    <w:name w:val="Table Paragraph"/>
    <w:basedOn w:val="1"/>
    <w:unhideWhenUsed/>
    <w:qFormat/>
    <w:uiPriority w:val="1"/>
    <w:pPr>
      <w:spacing w:line="320" w:lineRule="exact"/>
      <w:ind w:left="5"/>
      <w:jc w:val="center"/>
    </w:pPr>
    <w:rPr>
      <w:rFonts w:hint="eastAsia"/>
      <w:sz w:val="24"/>
    </w:rPr>
  </w:style>
  <w:style w:type="character" w:customStyle="1" w:styleId="82">
    <w:name w:val="font21"/>
    <w:basedOn w:val="32"/>
    <w:qFormat/>
    <w:uiPriority w:val="0"/>
    <w:rPr>
      <w:rFonts w:hint="default" w:ascii="Times New Roman" w:hAnsi="Times New Roman" w:cs="Times New Roman"/>
      <w:color w:val="000000"/>
      <w:sz w:val="32"/>
      <w:szCs w:val="32"/>
      <w:u w:val="none"/>
    </w:rPr>
  </w:style>
  <w:style w:type="character" w:customStyle="1" w:styleId="83">
    <w:name w:val="font81"/>
    <w:basedOn w:val="32"/>
    <w:qFormat/>
    <w:uiPriority w:val="0"/>
    <w:rPr>
      <w:rFonts w:hint="eastAsia" w:ascii="宋体" w:hAnsi="宋体" w:eastAsia="宋体" w:cs="宋体"/>
      <w:color w:val="000000"/>
      <w:sz w:val="24"/>
      <w:szCs w:val="24"/>
      <w:u w:val="none"/>
    </w:rPr>
  </w:style>
  <w:style w:type="character" w:customStyle="1" w:styleId="84">
    <w:name w:val="font61"/>
    <w:basedOn w:val="32"/>
    <w:qFormat/>
    <w:uiPriority w:val="0"/>
    <w:rPr>
      <w:rFonts w:hint="default" w:ascii="Times New Roman" w:hAnsi="Times New Roman" w:cs="Times New Roman"/>
      <w:color w:val="000000"/>
      <w:sz w:val="24"/>
      <w:szCs w:val="24"/>
      <w:u w:val="none"/>
    </w:rPr>
  </w:style>
  <w:style w:type="character" w:customStyle="1" w:styleId="85">
    <w:name w:val="font01"/>
    <w:basedOn w:val="32"/>
    <w:qFormat/>
    <w:uiPriority w:val="0"/>
    <w:rPr>
      <w:rFonts w:hint="eastAsia" w:ascii="宋体" w:hAnsi="宋体" w:eastAsia="宋体" w:cs="宋体"/>
      <w:color w:val="000000"/>
      <w:sz w:val="24"/>
      <w:szCs w:val="24"/>
      <w:u w:val="none"/>
      <w:vertAlign w:val="superscript"/>
    </w:rPr>
  </w:style>
  <w:style w:type="character" w:customStyle="1" w:styleId="86">
    <w:name w:val="font51"/>
    <w:basedOn w:val="32"/>
    <w:qFormat/>
    <w:uiPriority w:val="0"/>
    <w:rPr>
      <w:rFonts w:hint="eastAsia" w:ascii="宋体" w:hAnsi="宋体" w:eastAsia="宋体" w:cs="宋体"/>
      <w:b/>
      <w:color w:val="000000"/>
      <w:sz w:val="36"/>
      <w:szCs w:val="36"/>
      <w:u w:val="none"/>
    </w:rPr>
  </w:style>
  <w:style w:type="character" w:customStyle="1" w:styleId="87">
    <w:name w:val="font11"/>
    <w:basedOn w:val="32"/>
    <w:qFormat/>
    <w:uiPriority w:val="0"/>
    <w:rPr>
      <w:rFonts w:hint="default" w:ascii="Times New Roman" w:hAnsi="Times New Roman" w:cs="Times New Roman"/>
      <w:color w:val="000000"/>
      <w:sz w:val="36"/>
      <w:szCs w:val="36"/>
      <w:u w:val="none"/>
    </w:rPr>
  </w:style>
  <w:style w:type="character" w:customStyle="1" w:styleId="88">
    <w:name w:val="font71"/>
    <w:basedOn w:val="32"/>
    <w:qFormat/>
    <w:uiPriority w:val="0"/>
    <w:rPr>
      <w:rFonts w:hint="eastAsia" w:ascii="宋体" w:hAnsi="宋体" w:eastAsia="宋体" w:cs="宋体"/>
      <w:color w:val="000000"/>
      <w:sz w:val="18"/>
      <w:szCs w:val="18"/>
      <w:u w:val="none"/>
    </w:rPr>
  </w:style>
  <w:style w:type="paragraph" w:customStyle="1" w:styleId="89">
    <w:name w:val="WPSOffice手动目录 1"/>
    <w:qFormat/>
    <w:uiPriority w:val="0"/>
    <w:pPr>
      <w:ind w:leftChars="0"/>
    </w:pPr>
    <w:rPr>
      <w:rFonts w:ascii="Times New Roman" w:hAnsi="Times New Roman" w:eastAsia="宋体" w:cs="Times New Roman"/>
      <w:sz w:val="20"/>
      <w:szCs w:val="20"/>
    </w:rPr>
  </w:style>
  <w:style w:type="paragraph" w:customStyle="1" w:styleId="9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AEB06-0D9D-4AA9-87E5-D43691641CC0}">
  <ds:schemaRefs/>
</ds:datastoreItem>
</file>

<file path=docProps/app.xml><?xml version="1.0" encoding="utf-8"?>
<Properties xmlns="http://schemas.openxmlformats.org/officeDocument/2006/extended-properties" xmlns:vt="http://schemas.openxmlformats.org/officeDocument/2006/docPropsVTypes">
  <Template>Normal.dotm</Template>
  <Pages>68</Pages>
  <Words>6070</Words>
  <Characters>34605</Characters>
  <Lines>288</Lines>
  <Paragraphs>81</Paragraphs>
  <TotalTime>1</TotalTime>
  <ScaleCrop>false</ScaleCrop>
  <LinksUpToDate>false</LinksUpToDate>
  <CharactersWithSpaces>40594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2020-04-01T07:58:00Z</dcterms:created>
  <dc:creator>Administrator</dc:creator>
  <cp:lastModifiedBy>Administrator</cp:lastModifiedBy>
  <dcterms:modified xsi:type="dcterms:W3CDTF">2021-09-27T03:16:31Z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3401F135A6694CC2B7FB2FE700271017</vt:lpwstr>
  </property>
</Properties>
</file>