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kinsoku/>
        <w:wordWrap/>
        <w:overflowPunct/>
        <w:topLinePunct w:val="0"/>
        <w:autoSpaceDE/>
        <w:autoSpaceDN/>
        <w:bidi w:val="0"/>
        <w:adjustRightInd/>
        <w:snapToGrid/>
        <w:spacing w:line="360" w:lineRule="auto"/>
        <w:ind w:left="0" w:leftChars="0" w:right="0" w:firstLine="0" w:firstLineChars="0"/>
        <w:jc w:val="center"/>
        <w:textAlignment w:val="auto"/>
        <w:rPr>
          <w:rFonts w:hint="eastAsia" w:ascii="宋体" w:hAnsi="宋体" w:eastAsia="宋体" w:cs="宋体"/>
          <w:b/>
          <w:bCs w:val="0"/>
          <w:color w:val="auto"/>
          <w:sz w:val="72"/>
          <w:szCs w:val="72"/>
          <w:highlight w:val="none"/>
          <w:lang w:val="en-US" w:eastAsia="zh-CN"/>
        </w:rPr>
      </w:pPr>
      <w:r>
        <w:rPr>
          <w:rFonts w:hint="eastAsia" w:ascii="宋体" w:hAnsi="宋体" w:cs="宋体"/>
          <w:b/>
          <w:bCs w:val="0"/>
          <w:color w:val="auto"/>
          <w:sz w:val="72"/>
          <w:szCs w:val="72"/>
          <w:highlight w:val="none"/>
          <w:lang w:val="en-US" w:eastAsia="zh-CN"/>
        </w:rPr>
        <w:t>阿勒腾也木勒乡江阿布拉克村饲料加工</w:t>
      </w:r>
      <w:r>
        <w:rPr>
          <w:rFonts w:hint="eastAsia" w:ascii="宋体" w:hAnsi="宋体" w:eastAsia="宋体" w:cs="宋体"/>
          <w:b/>
          <w:bCs w:val="0"/>
          <w:color w:val="auto"/>
          <w:sz w:val="72"/>
          <w:szCs w:val="72"/>
          <w:highlight w:val="none"/>
          <w:lang w:val="en-US" w:eastAsia="zh-CN"/>
        </w:rPr>
        <w:t>厂建设项目</w:t>
      </w:r>
    </w:p>
    <w:p>
      <w:pPr>
        <w:pStyle w:val="2"/>
        <w:pageBreakBefore w:val="0"/>
        <w:widowControl/>
        <w:kinsoku/>
        <w:wordWrap/>
        <w:overflowPunct/>
        <w:topLinePunct w:val="0"/>
        <w:autoSpaceDE/>
        <w:autoSpaceDN/>
        <w:bidi w:val="0"/>
        <w:adjustRightInd/>
        <w:snapToGrid/>
        <w:spacing w:before="0" w:after="0"/>
        <w:ind w:left="0" w:right="0"/>
        <w:jc w:val="center"/>
        <w:textAlignment w:val="auto"/>
        <w:outlineLvl w:val="9"/>
        <w:rPr>
          <w:rFonts w:hint="eastAsia" w:ascii="宋体" w:hAnsi="宋体" w:eastAsia="宋体" w:cs="宋体"/>
          <w:color w:val="auto"/>
          <w:highlight w:val="none"/>
        </w:rPr>
      </w:pP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r>
        <w:rPr>
          <w:rFonts w:hint="eastAsia" w:ascii="宋体" w:hAnsi="宋体" w:eastAsia="宋体" w:cs="宋体"/>
          <w:b/>
          <w:bCs w:val="0"/>
          <w:color w:val="auto"/>
          <w:sz w:val="84"/>
          <w:szCs w:val="84"/>
          <w:highlight w:val="none"/>
          <w:lang w:val="en-US" w:eastAsia="zh-CN"/>
        </w:rPr>
        <w:t>实</w:t>
      </w: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r>
        <w:rPr>
          <w:rFonts w:hint="eastAsia" w:ascii="宋体" w:hAnsi="宋体" w:eastAsia="宋体" w:cs="宋体"/>
          <w:b/>
          <w:bCs w:val="0"/>
          <w:color w:val="auto"/>
          <w:sz w:val="84"/>
          <w:szCs w:val="84"/>
          <w:highlight w:val="none"/>
          <w:lang w:val="en-US" w:eastAsia="zh-CN"/>
        </w:rPr>
        <w:t>施</w:t>
      </w: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ascii="宋体" w:hAnsi="宋体" w:eastAsia="宋体" w:cs="宋体"/>
          <w:b/>
          <w:bCs w:val="0"/>
          <w:color w:val="auto"/>
          <w:sz w:val="84"/>
          <w:szCs w:val="84"/>
          <w:highlight w:val="none"/>
          <w:lang w:val="en-US" w:eastAsia="zh-CN"/>
        </w:rPr>
      </w:pPr>
      <w:r>
        <w:rPr>
          <w:rFonts w:hint="eastAsia" w:ascii="宋体" w:hAnsi="宋体" w:eastAsia="宋体" w:cs="宋体"/>
          <w:b/>
          <w:bCs w:val="0"/>
          <w:color w:val="auto"/>
          <w:sz w:val="84"/>
          <w:szCs w:val="84"/>
          <w:highlight w:val="none"/>
          <w:lang w:val="en-US" w:eastAsia="zh-CN"/>
        </w:rPr>
        <w:t>方</w:t>
      </w:r>
    </w:p>
    <w:p>
      <w:pPr>
        <w:pageBreakBefore w:val="0"/>
        <w:widowControl/>
        <w:kinsoku/>
        <w:wordWrap/>
        <w:overflowPunct/>
        <w:topLinePunct w:val="0"/>
        <w:autoSpaceDE/>
        <w:autoSpaceDN/>
        <w:bidi w:val="0"/>
        <w:adjustRightInd/>
        <w:snapToGrid/>
        <w:spacing w:line="225" w:lineRule="auto"/>
        <w:ind w:right="0"/>
        <w:jc w:val="center"/>
        <w:textAlignment w:val="auto"/>
        <w:rPr>
          <w:rFonts w:hint="eastAsia"/>
          <w:b/>
          <w:bCs w:val="0"/>
          <w:color w:val="auto"/>
          <w:sz w:val="84"/>
          <w:szCs w:val="84"/>
          <w:highlight w:val="none"/>
        </w:rPr>
      </w:pPr>
      <w:r>
        <w:rPr>
          <w:rFonts w:hint="eastAsia" w:ascii="宋体" w:hAnsi="宋体" w:eastAsia="宋体" w:cs="宋体"/>
          <w:b/>
          <w:bCs w:val="0"/>
          <w:color w:val="auto"/>
          <w:sz w:val="84"/>
          <w:szCs w:val="84"/>
          <w:highlight w:val="none"/>
          <w:lang w:val="en-US" w:eastAsia="zh-CN"/>
        </w:rPr>
        <w:t>案</w:t>
      </w:r>
    </w:p>
    <w:p>
      <w:pPr>
        <w:pageBreakBefore w:val="0"/>
        <w:widowControl/>
        <w:kinsoku/>
        <w:wordWrap/>
        <w:overflowPunct/>
        <w:topLinePunct w:val="0"/>
        <w:autoSpaceDE/>
        <w:autoSpaceDN/>
        <w:bidi w:val="0"/>
        <w:adjustRightInd/>
        <w:snapToGrid/>
        <w:ind w:left="0" w:right="0"/>
        <w:jc w:val="both"/>
        <w:textAlignment w:val="auto"/>
        <w:rPr>
          <w:rFonts w:hint="eastAsia"/>
          <w:color w:val="auto"/>
          <w:highlight w:val="none"/>
        </w:rPr>
      </w:pPr>
    </w:p>
    <w:p>
      <w:pPr>
        <w:pageBreakBefore w:val="0"/>
        <w:widowControl/>
        <w:kinsoku/>
        <w:wordWrap/>
        <w:overflowPunct/>
        <w:topLinePunct w:val="0"/>
        <w:autoSpaceDE/>
        <w:autoSpaceDN/>
        <w:bidi w:val="0"/>
        <w:adjustRightInd/>
        <w:snapToGrid/>
        <w:ind w:left="0" w:right="0"/>
        <w:jc w:val="center"/>
        <w:textAlignment w:val="auto"/>
        <w:rPr>
          <w:rFonts w:hint="eastAsia"/>
          <w:color w:val="auto"/>
          <w:highlight w:val="none"/>
        </w:rPr>
      </w:pPr>
    </w:p>
    <w:p>
      <w:pPr>
        <w:pageBreakBefore w:val="0"/>
        <w:widowControl/>
        <w:kinsoku/>
        <w:wordWrap/>
        <w:overflowPunct/>
        <w:topLinePunct w:val="0"/>
        <w:autoSpaceDE/>
        <w:autoSpaceDN/>
        <w:bidi w:val="0"/>
        <w:adjustRightInd/>
        <w:snapToGrid/>
        <w:ind w:left="0" w:right="0"/>
        <w:jc w:val="center"/>
        <w:textAlignment w:val="auto"/>
        <w:rPr>
          <w:rFonts w:hint="eastAsia"/>
          <w:color w:val="auto"/>
          <w:sz w:val="32"/>
          <w:szCs w:val="32"/>
          <w:highlight w:val="none"/>
        </w:rPr>
      </w:pPr>
    </w:p>
    <w:p>
      <w:pPr>
        <w:pageBreakBefore w:val="0"/>
        <w:widowControl/>
        <w:kinsoku/>
        <w:wordWrap/>
        <w:overflowPunct/>
        <w:topLinePunct w:val="0"/>
        <w:autoSpaceDE/>
        <w:autoSpaceDN/>
        <w:bidi w:val="0"/>
        <w:adjustRightInd/>
        <w:snapToGrid/>
        <w:ind w:left="0" w:right="0"/>
        <w:jc w:val="center"/>
        <w:textAlignment w:val="auto"/>
        <w:rPr>
          <w:rFonts w:hint="eastAsia"/>
          <w:color w:val="auto"/>
          <w:sz w:val="32"/>
          <w:szCs w:val="32"/>
          <w:highlight w:val="none"/>
        </w:rPr>
      </w:pPr>
    </w:p>
    <w:p>
      <w:pPr>
        <w:pageBreakBefore w:val="0"/>
        <w:widowControl/>
        <w:kinsoku/>
        <w:wordWrap/>
        <w:overflowPunct/>
        <w:topLinePunct w:val="0"/>
        <w:autoSpaceDE/>
        <w:autoSpaceDN/>
        <w:bidi w:val="0"/>
        <w:adjustRightInd/>
        <w:snapToGrid/>
        <w:ind w:left="0" w:right="0" w:hanging="1800" w:hangingChars="500"/>
        <w:jc w:val="left"/>
        <w:textAlignment w:val="auto"/>
        <w:rPr>
          <w:rFonts w:hint="eastAsia" w:ascii="宋体" w:hAnsi="宋体" w:eastAsia="宋体" w:cs="宋体"/>
          <w:sz w:val="36"/>
          <w:szCs w:val="36"/>
          <w:highlight w:val="none"/>
          <w:lang w:val="en-US" w:eastAsia="zh-CN"/>
        </w:rPr>
      </w:pPr>
      <w:r>
        <w:rPr>
          <w:rFonts w:hint="eastAsia" w:ascii="宋体" w:hAnsi="宋体" w:eastAsia="宋体" w:cs="宋体"/>
          <w:color w:val="auto"/>
          <w:sz w:val="36"/>
          <w:szCs w:val="36"/>
          <w:highlight w:val="none"/>
        </w:rPr>
        <w:t>项目名称：</w:t>
      </w:r>
      <w:r>
        <w:rPr>
          <w:rFonts w:hint="eastAsia" w:ascii="宋体" w:hAnsi="宋体" w:eastAsia="宋体" w:cs="宋体"/>
          <w:sz w:val="36"/>
          <w:szCs w:val="36"/>
          <w:highlight w:val="none"/>
          <w:lang w:val="en-US" w:eastAsia="zh-CN"/>
        </w:rPr>
        <w:t>裕民县阿勒腾也木勒乡江阿布拉克村饲料加工厂建设目</w:t>
      </w:r>
    </w:p>
    <w:p>
      <w:pPr>
        <w:widowControl w:val="0"/>
        <w:outlineLvl w:val="1"/>
        <w:rPr>
          <w:rFonts w:hint="eastAsia" w:ascii="宋体" w:hAnsi="宋体" w:eastAsia="宋体" w:cs="宋体"/>
          <w:color w:val="auto"/>
          <w:sz w:val="36"/>
          <w:szCs w:val="36"/>
          <w:highlight w:val="none"/>
          <w:lang w:val="en-US" w:eastAsia="zh-CN"/>
        </w:rPr>
      </w:pPr>
      <w:r>
        <w:rPr>
          <w:rFonts w:hint="eastAsia" w:ascii="宋体" w:hAnsi="宋体" w:eastAsia="宋体" w:cs="宋体"/>
          <w:color w:val="auto"/>
          <w:sz w:val="36"/>
          <w:szCs w:val="36"/>
          <w:highlight w:val="none"/>
        </w:rPr>
        <w:t>项目主管单位：</w:t>
      </w:r>
      <w:r>
        <w:rPr>
          <w:rFonts w:hint="eastAsia" w:ascii="宋体" w:hAnsi="宋体" w:eastAsia="宋体" w:cs="宋体"/>
          <w:sz w:val="36"/>
          <w:szCs w:val="36"/>
          <w:highlight w:val="none"/>
          <w:lang w:val="en-US" w:eastAsia="zh-CN"/>
        </w:rPr>
        <w:t>裕民县扶贫开发办公室</w:t>
      </w:r>
    </w:p>
    <w:p>
      <w:pPr>
        <w:rPr>
          <w:rFonts w:hint="eastAsia" w:ascii="宋体" w:hAnsi="宋体" w:eastAsia="宋体" w:cs="宋体"/>
          <w:sz w:val="36"/>
          <w:szCs w:val="36"/>
          <w:lang w:val="en-US" w:eastAsia="zh-CN"/>
        </w:rPr>
      </w:pPr>
      <w:r>
        <w:rPr>
          <w:rFonts w:hint="eastAsia" w:ascii="宋体" w:hAnsi="宋体" w:eastAsia="宋体" w:cs="宋体"/>
          <w:sz w:val="36"/>
          <w:szCs w:val="36"/>
          <w:highlight w:val="none"/>
        </w:rPr>
        <w:t>项目</w:t>
      </w:r>
      <w:r>
        <w:rPr>
          <w:rFonts w:hint="eastAsia" w:ascii="宋体" w:hAnsi="宋体" w:eastAsia="宋体" w:cs="宋体"/>
          <w:sz w:val="36"/>
          <w:szCs w:val="36"/>
          <w:highlight w:val="none"/>
          <w:lang w:val="en-US" w:eastAsia="zh-CN"/>
        </w:rPr>
        <w:t>实施</w:t>
      </w:r>
      <w:r>
        <w:rPr>
          <w:rFonts w:hint="eastAsia" w:ascii="宋体" w:hAnsi="宋体" w:eastAsia="宋体" w:cs="宋体"/>
          <w:sz w:val="36"/>
          <w:szCs w:val="36"/>
          <w:highlight w:val="none"/>
        </w:rPr>
        <w:t>单位：</w:t>
      </w:r>
      <w:r>
        <w:rPr>
          <w:rFonts w:hint="eastAsia" w:ascii="宋体" w:hAnsi="宋体" w:eastAsia="宋体" w:cs="宋体"/>
          <w:sz w:val="36"/>
          <w:szCs w:val="36"/>
          <w:highlight w:val="none"/>
          <w:lang w:val="en-US" w:eastAsia="zh-CN"/>
        </w:rPr>
        <w:t>裕民县阿勒腾也木勒乡人民政府</w:t>
      </w:r>
    </w:p>
    <w:p>
      <w:pPr>
        <w:pageBreakBefore w:val="0"/>
        <w:widowControl/>
        <w:kinsoku/>
        <w:wordWrap/>
        <w:overflowPunct/>
        <w:topLinePunct w:val="0"/>
        <w:autoSpaceDE/>
        <w:autoSpaceDN/>
        <w:bidi w:val="0"/>
        <w:adjustRightInd/>
        <w:snapToGrid/>
        <w:ind w:left="0" w:right="0"/>
        <w:jc w:val="left"/>
        <w:textAlignment w:val="auto"/>
        <w:rPr>
          <w:rFonts w:hint="eastAsia" w:ascii="宋体" w:hAnsi="宋体" w:eastAsia="宋体" w:cs="宋体"/>
          <w:b/>
          <w:color w:val="auto"/>
          <w:sz w:val="44"/>
          <w:szCs w:val="44"/>
          <w:highlight w:val="none"/>
          <w:lang w:val="en-US" w:eastAsia="zh-CN"/>
        </w:rPr>
      </w:pPr>
      <w:r>
        <w:rPr>
          <w:rFonts w:hint="eastAsia" w:ascii="宋体" w:hAnsi="宋体" w:eastAsia="宋体" w:cs="宋体"/>
          <w:color w:val="auto"/>
          <w:sz w:val="36"/>
          <w:szCs w:val="36"/>
          <w:highlight w:val="none"/>
        </w:rPr>
        <w:t>编制时间：</w:t>
      </w:r>
      <w:r>
        <w:rPr>
          <w:rFonts w:hint="eastAsia" w:ascii="宋体" w:hAnsi="宋体" w:eastAsia="宋体" w:cs="宋体"/>
          <w:color w:val="auto"/>
          <w:sz w:val="36"/>
          <w:szCs w:val="36"/>
          <w:highlight w:val="none"/>
          <w:lang w:val="en-US" w:eastAsia="zh-CN"/>
        </w:rPr>
        <w:t>2021年</w:t>
      </w:r>
    </w:p>
    <w:p>
      <w:pPr>
        <w:widowControl w:val="0"/>
        <w:rPr>
          <w:rFonts w:hint="eastAsia" w:ascii="Calibri" w:hAnsi="Calibri" w:eastAsia="宋体" w:cs="Times New Roman"/>
          <w:b/>
          <w:bCs/>
          <w:color w:val="auto"/>
          <w:sz w:val="32"/>
          <w:szCs w:val="32"/>
          <w:highlight w:val="none"/>
          <w:lang w:eastAsia="zh-CN"/>
        </w:rPr>
      </w:pPr>
      <w:bookmarkStart w:id="0" w:name="_Toc26396"/>
    </w:p>
    <w:p>
      <w:pPr>
        <w:widowControl w:val="0"/>
        <w:rPr>
          <w:rFonts w:hint="eastAsia" w:ascii="Calibri" w:hAnsi="Calibri" w:eastAsia="宋体" w:cs="Times New Roman"/>
          <w:b/>
          <w:bCs/>
          <w:color w:val="auto"/>
          <w:sz w:val="32"/>
          <w:szCs w:val="32"/>
          <w:highlight w:val="none"/>
          <w:lang w:eastAsia="zh-CN"/>
        </w:rPr>
      </w:pPr>
    </w:p>
    <w:p>
      <w:pPr>
        <w:spacing w:before="0" w:beforeLines="0" w:after="0" w:afterLines="0" w:line="240" w:lineRule="auto"/>
        <w:ind w:left="0" w:leftChars="0" w:right="0" w:rightChars="0" w:firstLine="0" w:firstLineChars="0"/>
        <w:jc w:val="center"/>
        <w:rPr>
          <w:b/>
          <w:bCs/>
          <w:color w:val="000000" w:themeColor="text1"/>
          <w:sz w:val="52"/>
          <w:szCs w:val="52"/>
          <w:highlight w:val="none"/>
          <w14:textFill>
            <w14:solidFill>
              <w14:schemeClr w14:val="tx1"/>
            </w14:solidFill>
          </w14:textFill>
        </w:rPr>
      </w:pPr>
      <w:r>
        <w:rPr>
          <w:rFonts w:ascii="宋体" w:hAnsi="宋体" w:eastAsia="宋体"/>
          <w:b/>
          <w:bCs/>
          <w:color w:val="000000" w:themeColor="text1"/>
          <w:sz w:val="52"/>
          <w:szCs w:val="52"/>
          <w:highlight w:val="none"/>
          <w14:textFill>
            <w14:solidFill>
              <w14:schemeClr w14:val="tx1"/>
            </w14:solidFill>
          </w14:textFill>
        </w:rPr>
        <w:t>目录</w:t>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TOC \o "1-3" \h \u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_Toc5666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bCs/>
          <w:color w:val="000000" w:themeColor="text1"/>
          <w:szCs w:val="32"/>
          <w:highlight w:val="none"/>
          <w:lang w:eastAsia="zh-CN"/>
          <w14:textFill>
            <w14:solidFill>
              <w14:schemeClr w14:val="tx1"/>
            </w14:solidFill>
          </w14:textFill>
        </w:rPr>
        <w:t>一、</w:t>
      </w:r>
      <w:r>
        <w:rPr>
          <w:rFonts w:hint="eastAsia" w:ascii="Calibri" w:hAnsi="Calibri" w:eastAsia="宋体" w:cs="Times New Roman"/>
          <w:bCs/>
          <w:color w:val="000000" w:themeColor="text1"/>
          <w:szCs w:val="32"/>
          <w:highlight w:val="none"/>
          <w14:textFill>
            <w14:solidFill>
              <w14:schemeClr w14:val="tx1"/>
            </w14:solidFill>
          </w14:textFill>
        </w:rPr>
        <w:t xml:space="preserve"> </w:t>
      </w:r>
      <w:r>
        <w:rPr>
          <w:rFonts w:hint="eastAsia" w:ascii="Calibri" w:hAnsi="Calibri" w:eastAsia="宋体" w:cs="Times New Roman"/>
          <w:bCs/>
          <w:color w:val="000000" w:themeColor="text1"/>
          <w:szCs w:val="32"/>
          <w:highlight w:val="none"/>
          <w:lang w:eastAsia="zh-CN"/>
          <w14:textFill>
            <w14:solidFill>
              <w14:schemeClr w14:val="tx1"/>
            </w14:solidFill>
          </w14:textFill>
        </w:rPr>
        <w:t>基本情况</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4</w:t>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_Toc26490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bCs/>
          <w:color w:val="000000" w:themeColor="text1"/>
          <w:szCs w:val="32"/>
          <w:highlight w:val="none"/>
          <w:lang w:eastAsia="zh-CN"/>
          <w14:textFill>
            <w14:solidFill>
              <w14:schemeClr w14:val="tx1"/>
            </w14:solidFill>
          </w14:textFill>
        </w:rPr>
        <w:t>二、项目立项情况</w:t>
      </w:r>
      <w:r>
        <w:rPr>
          <w:rFonts w:hint="eastAsia" w:eastAsia="宋体"/>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_Toc26490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5</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_Toc26930 </w:instrText>
      </w:r>
      <w:r>
        <w:rPr>
          <w:color w:val="000000" w:themeColor="text1"/>
          <w:highlight w:val="none"/>
          <w14:textFill>
            <w14:solidFill>
              <w14:schemeClr w14:val="tx1"/>
            </w14:solidFill>
          </w14:textFill>
        </w:rPr>
        <w:fldChar w:fldCharType="separate"/>
      </w:r>
      <w:r>
        <w:rPr>
          <w:rFonts w:hint="eastAsia" w:asciiTheme="majorEastAsia" w:hAnsiTheme="majorEastAsia" w:eastAsiaTheme="majorEastAsia" w:cstheme="majorEastAsia"/>
          <w:bCs/>
          <w:color w:val="000000" w:themeColor="text1"/>
          <w:szCs w:val="32"/>
          <w:highlight w:val="none"/>
          <w:lang w:val="en-US" w:eastAsia="zh-CN"/>
          <w14:textFill>
            <w14:solidFill>
              <w14:schemeClr w14:val="tx1"/>
            </w14:solidFill>
          </w14:textFill>
        </w:rPr>
        <w:t>三、</w:t>
      </w:r>
      <w:r>
        <w:rPr>
          <w:rFonts w:hint="eastAsia" w:ascii="Calibri" w:hAnsi="Calibri" w:eastAsia="宋体" w:cs="Times New Roman"/>
          <w:bCs/>
          <w:color w:val="000000" w:themeColor="text1"/>
          <w:szCs w:val="32"/>
          <w:highlight w:val="none"/>
          <w:lang w:val="en-US" w:eastAsia="zh-CN"/>
          <w14:textFill>
            <w14:solidFill>
              <w14:schemeClr w14:val="tx1"/>
            </w14:solidFill>
          </w14:textFill>
        </w:rPr>
        <w:t>项目施工设计</w:t>
      </w:r>
      <w:r>
        <w:rPr>
          <w:rFonts w:hint="eastAsia" w:eastAsia="宋体"/>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_Toc26930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6</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_Toc20470 </w:instrText>
      </w:r>
      <w:r>
        <w:rPr>
          <w:color w:val="000000" w:themeColor="text1"/>
          <w:highlight w:val="none"/>
          <w14:textFill>
            <w14:solidFill>
              <w14:schemeClr w14:val="tx1"/>
            </w14:solidFill>
          </w14:textFill>
        </w:rPr>
        <w:fldChar w:fldCharType="separate"/>
      </w:r>
      <w:r>
        <w:rPr>
          <w:rFonts w:hint="eastAsia" w:ascii="宋体" w:hAnsi="宋体" w:eastAsia="宋体" w:cs="宋体"/>
          <w:bCs/>
          <w:color w:val="000000" w:themeColor="text1"/>
          <w:szCs w:val="32"/>
          <w:highlight w:val="none"/>
          <w:lang w:val="en-US" w:eastAsia="zh-CN"/>
          <w14:textFill>
            <w14:solidFill>
              <w14:schemeClr w14:val="tx1"/>
            </w14:solidFill>
          </w14:textFill>
        </w:rPr>
        <w:t>四、</w:t>
      </w:r>
      <w:r>
        <w:rPr>
          <w:rFonts w:hint="eastAsia" w:ascii="Calibri" w:hAnsi="Calibri" w:eastAsia="宋体" w:cs="Times New Roman"/>
          <w:bCs/>
          <w:color w:val="000000" w:themeColor="text1"/>
          <w:szCs w:val="32"/>
          <w:highlight w:val="none"/>
          <w:lang w:val="en-US" w:eastAsia="zh-CN"/>
          <w14:textFill>
            <w14:solidFill>
              <w14:schemeClr w14:val="tx1"/>
            </w14:solidFill>
          </w14:textFill>
        </w:rPr>
        <w:t>项目投资概算与资金筹措</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_Toc5732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lang w:val="en-US" w:eastAsia="zh-CN"/>
          <w14:textFill>
            <w14:solidFill>
              <w14:schemeClr w14:val="tx1"/>
            </w14:solidFill>
          </w14:textFill>
        </w:rPr>
        <w:t>、项目总投资估算</w:t>
      </w:r>
      <w:r>
        <w:rPr>
          <w:rFonts w:hint="eastAsia" w:eastAsia="宋体"/>
          <w:b/>
          <w:bCs/>
          <w:color w:val="000000" w:themeColor="text1"/>
          <w:highlight w:val="none"/>
          <w:lang w:val="en-US"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6</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_Toc2680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、资金筹措</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_Toc2680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6</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_Toc31889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14:textFill>
            <w14:solidFill>
              <w14:schemeClr w14:val="tx1"/>
            </w14:solidFill>
          </w14:textFill>
        </w:rPr>
        <w:t>资金使用和管理</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_Toc31889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7</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_Toc3574 </w:instrText>
      </w:r>
      <w:r>
        <w:rPr>
          <w:color w:val="000000" w:themeColor="text1"/>
          <w:highlight w:val="none"/>
          <w14:textFill>
            <w14:solidFill>
              <w14:schemeClr w14:val="tx1"/>
            </w14:solidFill>
          </w14:textFill>
        </w:rPr>
        <w:fldChar w:fldCharType="separate"/>
      </w:r>
      <w:r>
        <w:rPr>
          <w:rFonts w:hint="eastAsia" w:asciiTheme="majorEastAsia" w:hAnsiTheme="majorEastAsia" w:eastAsiaTheme="majorEastAsia" w:cstheme="majorEastAsia"/>
          <w:bCs/>
          <w:color w:val="000000" w:themeColor="text1"/>
          <w:szCs w:val="32"/>
          <w:highlight w:val="none"/>
          <w:lang w:val="en-US" w:eastAsia="zh-CN"/>
          <w14:textFill>
            <w14:solidFill>
              <w14:schemeClr w14:val="tx1"/>
            </w14:solidFill>
          </w14:textFill>
        </w:rPr>
        <w:t>五、</w:t>
      </w:r>
      <w:r>
        <w:rPr>
          <w:rFonts w:hint="eastAsia" w:ascii="Calibri" w:hAnsi="Calibri" w:eastAsia="宋体" w:cs="Times New Roman"/>
          <w:bCs/>
          <w:color w:val="000000" w:themeColor="text1"/>
          <w:szCs w:val="32"/>
          <w:highlight w:val="none"/>
          <w:lang w:val="en-US" w:eastAsia="zh-CN"/>
          <w14:textFill>
            <w14:solidFill>
              <w14:schemeClr w14:val="tx1"/>
            </w14:solidFill>
          </w14:textFill>
        </w:rPr>
        <w:t>项目实施保障措施</w:t>
      </w:r>
      <w:r>
        <w:rPr>
          <w:rFonts w:hint="eastAsia" w:eastAsia="宋体"/>
          <w:b/>
          <w:bCs/>
          <w:color w:val="000000" w:themeColor="text1"/>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8</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_Toc27300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1、组织领导机构</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_Toc27300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8</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_Toc2615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14:textFill>
            <w14:solidFill>
              <w14:schemeClr w14:val="tx1"/>
            </w14:solidFill>
          </w14:textFill>
        </w:rPr>
        <w:t>技术保障措施</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_Toc2615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8</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_Toc4634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14:textFill>
            <w14:solidFill>
              <w14:schemeClr w14:val="tx1"/>
            </w14:solidFill>
          </w14:textFill>
        </w:rPr>
        <w:t>项目管理、监督检查制度</w:t>
      </w:r>
      <w:r>
        <w:rPr>
          <w:rFonts w:hint="eastAsia" w:eastAsia="宋体"/>
          <w:b/>
          <w:bCs/>
          <w:color w:val="000000" w:themeColor="text1"/>
          <w:highlight w:val="none"/>
          <w:lang w:val="en-US" w:eastAsia="zh-CN"/>
          <w14:textFill>
            <w14:solidFill>
              <w14:schemeClr w14:val="tx1"/>
            </w14:solidFill>
          </w14:textFill>
        </w:rPr>
        <w:t>..............................................................9</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_Toc28741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4</w:t>
      </w:r>
      <w:r>
        <w:rPr>
          <w:rFonts w:hint="eastAsia"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验收管理</w:t>
      </w:r>
      <w:r>
        <w:rPr>
          <w:rFonts w:hint="eastAsia" w:eastAsia="宋体" w:cs="Times New Roman"/>
          <w:color w:val="000000" w:themeColor="text1"/>
          <w:szCs w:val="32"/>
          <w:highlight w:val="none"/>
          <w:lang w:val="en-US" w:eastAsia="zh-CN"/>
          <w14:textFill>
            <w14:solidFill>
              <w14:schemeClr w14:val="tx1"/>
            </w14:solidFill>
          </w14:textFill>
        </w:rPr>
        <w:t xml:space="preserve"> </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_Toc28741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_Toc14137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5、</w:t>
      </w:r>
      <w:r>
        <w:rPr>
          <w:rFonts w:hint="eastAsia" w:ascii="Calibri" w:hAnsi="Calibri" w:eastAsia="宋体" w:cs="Times New Roman"/>
          <w:color w:val="000000" w:themeColor="text1"/>
          <w:szCs w:val="32"/>
          <w:highlight w:val="none"/>
          <w14:textFill>
            <w14:solidFill>
              <w14:schemeClr w14:val="tx1"/>
            </w14:solidFill>
          </w14:textFill>
        </w:rPr>
        <w:t>运营模式和运营管理</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_Toc14137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_Toc13618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14:textFill>
            <w14:solidFill>
              <w14:schemeClr w14:val="tx1"/>
            </w14:solidFill>
          </w14:textFill>
        </w:rPr>
        <w:t>6、 带贫减贫益贫机制</w:t>
      </w:r>
      <w:r>
        <w:rPr>
          <w:rFonts w:hint="eastAsia" w:eastAsia="宋体" w:cs="Times New Roman"/>
          <w:b/>
          <w:bCs/>
          <w:color w:val="000000" w:themeColor="text1"/>
          <w:szCs w:val="32"/>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_Toc13618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9</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_Toc13618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14:textFill>
            <w14:solidFill>
              <w14:schemeClr w14:val="tx1"/>
            </w14:solidFill>
          </w14:textFill>
        </w:rPr>
        <w:t>6、 带贫减贫益贫机制</w:t>
      </w:r>
      <w:r>
        <w:rPr>
          <w:rFonts w:hint="eastAsia" w:eastAsia="宋体" w:cs="Times New Roman"/>
          <w:b/>
          <w:bCs/>
          <w:color w:val="000000" w:themeColor="text1"/>
          <w:szCs w:val="32"/>
          <w:highlight w:val="none"/>
          <w:lang w:val="en-US" w:eastAsia="zh-CN"/>
          <w14:textFill>
            <w14:solidFill>
              <w14:schemeClr w14:val="tx1"/>
            </w14:solidFill>
          </w14:textFill>
        </w:rPr>
        <w:t>....................................................................</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0</w:t>
      </w:r>
    </w:p>
    <w:p>
      <w:pPr>
        <w:ind w:firstLine="280" w:firstLineChars="100"/>
        <w:rPr>
          <w:rFonts w:hint="default" w:eastAsia="宋体"/>
          <w:b/>
          <w:bCs/>
          <w:sz w:val="28"/>
          <w:szCs w:val="28"/>
          <w:lang w:val="en-US" w:eastAsia="zh-CN"/>
        </w:rPr>
      </w:pPr>
      <w:r>
        <w:rPr>
          <w:rFonts w:hint="eastAsia"/>
          <w:sz w:val="28"/>
          <w:szCs w:val="28"/>
          <w:lang w:val="en-US" w:eastAsia="zh-CN"/>
        </w:rPr>
        <w:t>7、产权归属</w:t>
      </w:r>
      <w:r>
        <w:rPr>
          <w:rFonts w:hint="eastAsia"/>
          <w:b/>
          <w:bCs/>
          <w:sz w:val="28"/>
          <w:szCs w:val="28"/>
          <w:lang w:val="en-US" w:eastAsia="zh-CN"/>
        </w:rPr>
        <w:t>....................................................................................10</w:t>
      </w:r>
    </w:p>
    <w:p>
      <w:pPr>
        <w:pStyle w:val="8"/>
        <w:tabs>
          <w:tab w:val="right" w:leader="dot" w:pos="8306"/>
          <w:tab w:val="clear" w:pos="829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_Toc7483 </w:instrText>
      </w:r>
      <w:r>
        <w:rPr>
          <w:color w:val="000000" w:themeColor="text1"/>
          <w:highlight w:val="none"/>
          <w14:textFill>
            <w14:solidFill>
              <w14:schemeClr w14:val="tx1"/>
            </w14:solidFill>
          </w14:textFill>
        </w:rPr>
        <w:fldChar w:fldCharType="separate"/>
      </w:r>
      <w:r>
        <w:rPr>
          <w:rFonts w:hint="eastAsia" w:ascii="宋体" w:hAnsi="宋体" w:eastAsia="宋体" w:cs="宋体"/>
          <w:bCs/>
          <w:color w:val="000000" w:themeColor="text1"/>
          <w:szCs w:val="32"/>
          <w:highlight w:val="none"/>
          <w:lang w:eastAsia="zh-CN"/>
          <w14:textFill>
            <w14:solidFill>
              <w14:schemeClr w14:val="tx1"/>
            </w14:solidFill>
          </w14:textFill>
        </w:rPr>
        <w:t>六、</w:t>
      </w:r>
      <w:r>
        <w:rPr>
          <w:rFonts w:hint="eastAsia" w:ascii="Calibri" w:hAnsi="Calibri" w:eastAsia="宋体" w:cs="Times New Roman"/>
          <w:bCs/>
          <w:color w:val="000000" w:themeColor="text1"/>
          <w:szCs w:val="32"/>
          <w:highlight w:val="none"/>
          <w14:textFill>
            <w14:solidFill>
              <w14:schemeClr w14:val="tx1"/>
            </w14:solidFill>
          </w14:textFill>
        </w:rPr>
        <w:t>项目实施进度</w:t>
      </w:r>
      <w:r>
        <w:rPr>
          <w:rFonts w:hint="eastAsia" w:eastAsia="宋体" w:cs="Times New Roman"/>
          <w:b/>
          <w:bCs/>
          <w:color w:val="000000" w:themeColor="text1"/>
          <w:szCs w:val="32"/>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PAGEREF _Toc7483 </w:instrText>
      </w:r>
      <w:r>
        <w:rPr>
          <w:color w:val="000000" w:themeColor="text1"/>
          <w:highlight w:val="none"/>
          <w14:textFill>
            <w14:solidFill>
              <w14:schemeClr w14:val="tx1"/>
            </w14:solidFill>
          </w14:textFill>
        </w:rPr>
        <w:fldChar w:fldCharType="separate"/>
      </w:r>
      <w:r>
        <w:rPr>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_Toc28659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项目实施进度计划</w:t>
      </w:r>
      <w:r>
        <w:rPr>
          <w:rFonts w:hint="eastAsia" w:eastAsia="宋体"/>
          <w:b/>
          <w:bCs/>
          <w:color w:val="000000" w:themeColor="text1"/>
          <w:highlight w:val="none"/>
          <w:lang w:val="en-US"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 xml:space="preserve">10 </w:t>
      </w:r>
      <w:r>
        <w:rPr>
          <w:color w:val="000000" w:themeColor="text1"/>
          <w:highlight w:val="none"/>
          <w14:textFill>
            <w14:solidFill>
              <w14:schemeClr w14:val="tx1"/>
            </w14:solidFill>
          </w14:textFill>
        </w:rPr>
        <w:fldChar w:fldCharType="end"/>
      </w:r>
    </w:p>
    <w:p>
      <w:pPr>
        <w:pStyle w:val="5"/>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_Toc1346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（1）项目前期工作和工程实施准备</w:t>
      </w:r>
      <w:r>
        <w:rPr>
          <w:rFonts w:hint="eastAsia"/>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_Toc1346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10</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5"/>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_Toc21279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（2）工程建设</w:t>
      </w:r>
      <w:r>
        <w:rPr>
          <w:b/>
          <w:bCs/>
          <w:color w:val="000000" w:themeColor="text1"/>
          <w:highlight w:val="none"/>
          <w14:textFill>
            <w14:solidFill>
              <w14:schemeClr w14:val="tx1"/>
            </w14:solidFill>
          </w14:textFill>
        </w:rPr>
        <w:tab/>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_Toc21279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w:t>
      </w:r>
      <w:r>
        <w:rPr>
          <w:rFonts w:hint="eastAsia"/>
          <w:b/>
          <w:bCs/>
          <w:color w:val="000000" w:themeColor="text1"/>
          <w:highlight w:val="none"/>
          <w:lang w:val="en-US" w:eastAsia="zh-CN"/>
          <w14:textFill>
            <w14:solidFill>
              <w14:schemeClr w14:val="tx1"/>
            </w14:solidFill>
          </w14:textFill>
        </w:rPr>
        <w:t>1</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_Toc23964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招标方案</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_Toc23964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11</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_Toc18836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14:textFill>
            <w14:solidFill>
              <w14:schemeClr w14:val="tx1"/>
            </w14:solidFill>
          </w14:textFill>
        </w:rPr>
        <w:t>项目公告公示</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_Toc18836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14</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8"/>
        <w:tabs>
          <w:tab w:val="right" w:leader="dot" w:pos="8306"/>
          <w:tab w:val="clear" w:pos="829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_Toc27733 </w:instrText>
      </w:r>
      <w:r>
        <w:rPr>
          <w:color w:val="000000" w:themeColor="text1"/>
          <w:highlight w:val="none"/>
          <w14:textFill>
            <w14:solidFill>
              <w14:schemeClr w14:val="tx1"/>
            </w14:solidFill>
          </w14:textFill>
        </w:rPr>
        <w:fldChar w:fldCharType="separate"/>
      </w:r>
      <w:r>
        <w:rPr>
          <w:rFonts w:hint="eastAsia" w:ascii="宋体" w:hAnsi="宋体" w:eastAsia="宋体" w:cs="宋体"/>
          <w:bCs/>
          <w:color w:val="000000" w:themeColor="text1"/>
          <w:szCs w:val="32"/>
          <w:highlight w:val="none"/>
          <w:lang w:eastAsia="zh-CN"/>
          <w14:textFill>
            <w14:solidFill>
              <w14:schemeClr w14:val="tx1"/>
            </w14:solidFill>
          </w14:textFill>
        </w:rPr>
        <w:t>七、</w:t>
      </w:r>
      <w:r>
        <w:rPr>
          <w:rFonts w:hint="eastAsia" w:ascii="Calibri" w:hAnsi="Calibri" w:eastAsia="宋体" w:cs="Times New Roman"/>
          <w:bCs/>
          <w:color w:val="000000" w:themeColor="text1"/>
          <w:szCs w:val="32"/>
          <w:highlight w:val="none"/>
          <w14:textFill>
            <w14:solidFill>
              <w14:schemeClr w14:val="tx1"/>
            </w14:solidFill>
          </w14:textFill>
        </w:rPr>
        <w:t>项目绩效目标及效益分析</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4</w:t>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_Toc30027 </w:instrText>
      </w:r>
      <w:r>
        <w:rPr>
          <w:color w:val="000000" w:themeColor="text1"/>
          <w:highlight w:val="none"/>
          <w14:textFill>
            <w14:solidFill>
              <w14:schemeClr w14:val="tx1"/>
            </w14:solidFill>
          </w14:textFill>
        </w:rPr>
        <w:fldChar w:fldCharType="separate"/>
      </w:r>
      <w:r>
        <w:rPr>
          <w:rFonts w:hint="eastAsia" w:ascii="Calibri" w:hAnsi="Calibri" w:eastAsia="宋体"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14:textFill>
            <w14:solidFill>
              <w14:schemeClr w14:val="tx1"/>
            </w14:solidFill>
          </w14:textFill>
        </w:rPr>
        <w:t>项目覆盖情况</w:t>
      </w:r>
      <w:r>
        <w:rPr>
          <w:rFonts w:hint="eastAsia" w:eastAsia="宋体"/>
          <w:b/>
          <w:bCs/>
          <w:color w:val="000000" w:themeColor="text1"/>
          <w:highlight w:val="none"/>
          <w:lang w:val="en-US" w:eastAsia="zh-CN"/>
          <w14:textFill>
            <w14:solidFill>
              <w14:schemeClr w14:val="tx1"/>
            </w14:solidFill>
          </w14:textFill>
        </w:rPr>
        <w:t>............................................................................</w:t>
      </w:r>
      <w:r>
        <w:rPr>
          <w:rFonts w:hint="eastAsia"/>
          <w:b/>
          <w:bCs/>
          <w:color w:val="000000" w:themeColor="text1"/>
          <w:highlight w:val="none"/>
          <w:lang w:val="en-US" w:eastAsia="zh-CN"/>
          <w14:textFill>
            <w14:solidFill>
              <w14:schemeClr w14:val="tx1"/>
            </w14:solidFill>
          </w14:textFill>
        </w:rPr>
        <w:t>14</w:t>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_Toc22315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经济效益</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_Toc22315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15</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_Toc2544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3</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社会效益</w:t>
      </w:r>
      <w:r>
        <w:rPr>
          <w:rFonts w:hint="eastAsia" w:eastAsia="宋体"/>
          <w:b/>
          <w:bCs/>
          <w:color w:val="000000" w:themeColor="text1"/>
          <w:highlight w:val="none"/>
          <w:lang w:val="en-US" w:eastAsia="zh-CN"/>
          <w14:textFill>
            <w14:solidFill>
              <w14:schemeClr w14:val="tx1"/>
            </w14:solidFill>
          </w14:textFill>
        </w:rPr>
        <w:t>....................................................................................</w:t>
      </w:r>
      <w:r>
        <w:rPr>
          <w:b/>
          <w:bCs/>
          <w:color w:val="000000" w:themeColor="text1"/>
          <w:highlight w:val="none"/>
          <w14:textFill>
            <w14:solidFill>
              <w14:schemeClr w14:val="tx1"/>
            </w14:solidFill>
          </w14:textFill>
        </w:rPr>
        <w:fldChar w:fldCharType="begin"/>
      </w:r>
      <w:r>
        <w:rPr>
          <w:b/>
          <w:bCs/>
          <w:color w:val="000000" w:themeColor="text1"/>
          <w:highlight w:val="none"/>
          <w14:textFill>
            <w14:solidFill>
              <w14:schemeClr w14:val="tx1"/>
            </w14:solidFill>
          </w14:textFill>
        </w:rPr>
        <w:instrText xml:space="preserve"> PAGEREF _Toc2544 </w:instrText>
      </w:r>
      <w:r>
        <w:rPr>
          <w:b/>
          <w:bCs/>
          <w:color w:val="000000" w:themeColor="text1"/>
          <w:highlight w:val="none"/>
          <w14:textFill>
            <w14:solidFill>
              <w14:schemeClr w14:val="tx1"/>
            </w14:solidFill>
          </w14:textFill>
        </w:rPr>
        <w:fldChar w:fldCharType="separate"/>
      </w:r>
      <w:r>
        <w:rPr>
          <w:b/>
          <w:bCs/>
          <w:color w:val="000000" w:themeColor="text1"/>
          <w:highlight w:val="none"/>
          <w14:textFill>
            <w14:solidFill>
              <w14:schemeClr w14:val="tx1"/>
            </w14:solidFill>
          </w14:textFill>
        </w:rPr>
        <w:t>15</w:t>
      </w:r>
      <w:r>
        <w:rPr>
          <w:b/>
          <w:bCs/>
          <w:color w:val="000000" w:themeColor="text1"/>
          <w:highlight w:val="none"/>
          <w14:textFill>
            <w14:solidFill>
              <w14:schemeClr w14:val="tx1"/>
            </w14:solidFill>
          </w14:textFill>
        </w:rPr>
        <w:fldChar w:fldCharType="end"/>
      </w:r>
      <w:r>
        <w:rPr>
          <w:color w:val="000000" w:themeColor="text1"/>
          <w:highlight w:val="none"/>
          <w14:textFill>
            <w14:solidFill>
              <w14:schemeClr w14:val="tx1"/>
            </w14:solidFill>
          </w14:textFill>
        </w:rPr>
        <w:fldChar w:fldCharType="end"/>
      </w:r>
    </w:p>
    <w:p>
      <w:pPr>
        <w:pStyle w:val="9"/>
        <w:tabs>
          <w:tab w:val="right" w:leader="dot" w:pos="8306"/>
        </w:tabs>
        <w:rPr>
          <w:rFonts w:hint="default"/>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_Toc2281 </w:instrText>
      </w:r>
      <w:r>
        <w:rPr>
          <w:color w:val="000000" w:themeColor="text1"/>
          <w:highlight w:val="none"/>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4</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可持续性影响</w:t>
      </w:r>
      <w:r>
        <w:rPr>
          <w:rFonts w:hint="eastAsia" w:eastAsia="宋体"/>
          <w:b/>
          <w:bCs/>
          <w:color w:val="000000" w:themeColor="text1"/>
          <w:highlight w:val="none"/>
          <w:lang w:val="en-US" w:eastAsia="zh-CN"/>
          <w14:textFill>
            <w14:solidFill>
              <w14:schemeClr w14:val="tx1"/>
            </w14:solidFill>
          </w14:textFill>
        </w:rPr>
        <w:t>............................................................................</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16</w:t>
      </w:r>
    </w:p>
    <w:p>
      <w:pPr>
        <w:pStyle w:val="9"/>
        <w:tabs>
          <w:tab w:val="right" w:leader="dot" w:pos="8306"/>
        </w:tabs>
        <w:rPr>
          <w:rFonts w:hint="eastAsia"/>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_Toc2281 </w:instrText>
      </w:r>
      <w:r>
        <w:rPr>
          <w:color w:val="000000" w:themeColor="text1"/>
          <w:highlight w:val="none"/>
          <w14:textFill>
            <w14:solidFill>
              <w14:schemeClr w14:val="tx1"/>
            </w14:solidFill>
          </w14:textFill>
        </w:rPr>
        <w:fldChar w:fldCharType="separate"/>
      </w:r>
      <w:r>
        <w:rPr>
          <w:rFonts w:hint="eastAsia"/>
          <w:color w:val="000000" w:themeColor="text1"/>
          <w:highlight w:val="none"/>
          <w:lang w:val="en-US" w:eastAsia="zh-CN"/>
          <w14:textFill>
            <w14:solidFill>
              <w14:schemeClr w14:val="tx1"/>
            </w14:solidFill>
          </w14:textFill>
        </w:rPr>
        <w:t>5</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eastAsia="宋体" w:cs="Times New Roman"/>
          <w:color w:val="000000" w:themeColor="text1"/>
          <w:szCs w:val="32"/>
          <w:highlight w:val="none"/>
          <w:lang w:eastAsia="zh-CN"/>
          <w14:textFill>
            <w14:solidFill>
              <w14:schemeClr w14:val="tx1"/>
            </w14:solidFill>
          </w14:textFill>
        </w:rPr>
        <w:t>就业情况</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6</w:t>
      </w:r>
    </w:p>
    <w:p>
      <w:pPr>
        <w:pStyle w:val="8"/>
        <w:tabs>
          <w:tab w:val="right" w:leader="dot" w:pos="8306"/>
          <w:tab w:val="clear" w:pos="829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_Toc27420 </w:instrText>
      </w:r>
      <w:r>
        <w:rPr>
          <w:color w:val="000000" w:themeColor="text1"/>
          <w:highlight w:val="none"/>
          <w14:textFill>
            <w14:solidFill>
              <w14:schemeClr w14:val="tx1"/>
            </w14:solidFill>
          </w14:textFill>
        </w:rPr>
        <w:fldChar w:fldCharType="separate"/>
      </w:r>
      <w:r>
        <w:rPr>
          <w:rFonts w:hint="eastAsia" w:asciiTheme="majorEastAsia" w:hAnsiTheme="majorEastAsia" w:eastAsiaTheme="majorEastAsia" w:cstheme="majorEastAsia"/>
          <w:bCs/>
          <w:color w:val="000000" w:themeColor="text1"/>
          <w:szCs w:val="32"/>
          <w:highlight w:val="none"/>
          <w:lang w:eastAsia="zh-CN"/>
          <w14:textFill>
            <w14:solidFill>
              <w14:schemeClr w14:val="tx1"/>
            </w14:solidFill>
          </w14:textFill>
        </w:rPr>
        <w:t>八、</w:t>
      </w:r>
      <w:r>
        <w:rPr>
          <w:rFonts w:hint="eastAsia" w:ascii="Calibri" w:hAnsi="Calibri" w:eastAsia="宋体" w:cs="Times New Roman"/>
          <w:bCs/>
          <w:color w:val="000000" w:themeColor="text1"/>
          <w:szCs w:val="32"/>
          <w:highlight w:val="none"/>
          <w14:textFill>
            <w14:solidFill>
              <w14:schemeClr w14:val="tx1"/>
            </w14:solidFill>
          </w14:textFill>
        </w:rPr>
        <w:t>风险分析</w:t>
      </w:r>
      <w:r>
        <w:rPr>
          <w:rFonts w:hint="eastAsia" w:eastAsia="宋体" w:cs="Times New Roman"/>
          <w:bCs/>
          <w:color w:val="000000" w:themeColor="text1"/>
          <w:szCs w:val="32"/>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color w:val="000000" w:themeColor="text1"/>
          <w:highlight w:val="none"/>
          <w:lang w:val="en-US" w:eastAsia="zh-CN"/>
          <w14:textFill>
            <w14:solidFill>
              <w14:schemeClr w14:val="tx1"/>
            </w14:solidFill>
          </w14:textFill>
        </w:rPr>
        <w:t>6</w:t>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_Toc21243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1</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主要风险因素</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6</w:t>
      </w:r>
    </w:p>
    <w:p>
      <w:pPr>
        <w:pStyle w:val="9"/>
        <w:tabs>
          <w:tab w:val="right" w:leader="dot" w:pos="8306"/>
        </w:tabs>
        <w:rPr>
          <w:rFonts w:hint="eastAsia" w:eastAsia="仿宋_GB2312"/>
          <w:color w:val="000000" w:themeColor="text1"/>
          <w:highlight w:val="none"/>
          <w:lang w:val="en-US" w:eastAsia="zh-CN"/>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_Toc32490 </w:instrText>
      </w:r>
      <w:r>
        <w:rPr>
          <w:color w:val="000000" w:themeColor="text1"/>
          <w:highlight w:val="none"/>
          <w14:textFill>
            <w14:solidFill>
              <w14:schemeClr w14:val="tx1"/>
            </w14:solidFill>
          </w14:textFill>
        </w:rPr>
        <w:fldChar w:fldCharType="separate"/>
      </w:r>
      <w:r>
        <w:rPr>
          <w:rFonts w:hint="eastAsia" w:cs="Times New Roman"/>
          <w:color w:val="000000" w:themeColor="text1"/>
          <w:szCs w:val="32"/>
          <w:highlight w:val="none"/>
          <w:lang w:val="en-US" w:eastAsia="zh-CN"/>
          <w14:textFill>
            <w14:solidFill>
              <w14:schemeClr w14:val="tx1"/>
            </w14:solidFill>
          </w14:textFill>
        </w:rPr>
        <w:t>2</w:t>
      </w:r>
      <w:r>
        <w:rPr>
          <w:rFonts w:hint="eastAsia" w:ascii="Calibri" w:hAnsi="Calibri" w:eastAsia="宋体" w:cs="Times New Roman"/>
          <w:color w:val="000000" w:themeColor="text1"/>
          <w:szCs w:val="32"/>
          <w:highlight w:val="none"/>
          <w:lang w:val="en-US" w:eastAsia="zh-CN"/>
          <w14:textFill>
            <w14:solidFill>
              <w14:schemeClr w14:val="tx1"/>
            </w14:solidFill>
          </w14:textFill>
        </w:rPr>
        <w:t>、</w:t>
      </w:r>
      <w:r>
        <w:rPr>
          <w:rFonts w:hint="eastAsia" w:ascii="Calibri" w:hAnsi="Calibri" w:eastAsia="宋体" w:cs="Times New Roman"/>
          <w:color w:val="000000" w:themeColor="text1"/>
          <w:szCs w:val="32"/>
          <w:highlight w:val="none"/>
          <w14:textFill>
            <w14:solidFill>
              <w14:schemeClr w14:val="tx1"/>
            </w14:solidFill>
          </w14:textFill>
        </w:rPr>
        <w:t>防范化解措施</w:t>
      </w:r>
      <w:r>
        <w:rPr>
          <w:rFonts w:hint="eastAsia" w:eastAsia="宋体"/>
          <w:b/>
          <w:bCs/>
          <w:color w:val="000000" w:themeColor="text1"/>
          <w:highlight w:val="none"/>
          <w:lang w:val="en-US" w:eastAsia="zh-CN"/>
          <w14:textFill>
            <w14:solidFill>
              <w14:schemeClr w14:val="tx1"/>
            </w14:solidFill>
          </w14:textFill>
        </w:rPr>
        <w:t>...........................................................................1</w:t>
      </w:r>
      <w:r>
        <w:rPr>
          <w:color w:val="000000" w:themeColor="text1"/>
          <w:highlight w:val="none"/>
          <w14:textFill>
            <w14:solidFill>
              <w14:schemeClr w14:val="tx1"/>
            </w14:solidFill>
          </w14:textFill>
        </w:rPr>
        <w:fldChar w:fldCharType="end"/>
      </w:r>
      <w:r>
        <w:rPr>
          <w:rFonts w:hint="eastAsia"/>
          <w:b/>
          <w:bCs/>
          <w:color w:val="000000" w:themeColor="text1"/>
          <w:highlight w:val="none"/>
          <w:lang w:val="en-US" w:eastAsia="zh-CN"/>
          <w14:textFill>
            <w14:solidFill>
              <w14:schemeClr w14:val="tx1"/>
            </w14:solidFill>
          </w14:textFill>
        </w:rPr>
        <w:t>7</w:t>
      </w:r>
    </w:p>
    <w:p>
      <w:pPr>
        <w:rPr>
          <w:color w:val="auto"/>
          <w:highlight w:val="none"/>
        </w:rPr>
      </w:pPr>
      <w:r>
        <w:rPr>
          <w:color w:val="000000" w:themeColor="text1"/>
          <w:highlight w:val="none"/>
          <w14:textFill>
            <w14:solidFill>
              <w14:schemeClr w14:val="tx1"/>
            </w14:solidFill>
          </w14:textFill>
        </w:rPr>
        <w:fldChar w:fldCharType="end"/>
      </w:r>
    </w:p>
    <w:p>
      <w:pPr>
        <w:rPr>
          <w:color w:val="auto"/>
          <w:highlight w:val="none"/>
        </w:rPr>
      </w:pPr>
      <w:r>
        <w:rPr>
          <w:color w:val="auto"/>
          <w:highlight w:val="none"/>
        </w:rPr>
        <w:br w:type="page"/>
      </w:r>
    </w:p>
    <w:p>
      <w:pPr>
        <w:widowControl w:val="0"/>
        <w:ind w:firstLine="643" w:firstLineChars="200"/>
        <w:outlineLvl w:val="0"/>
        <w:rPr>
          <w:rFonts w:hint="eastAsia" w:ascii="Calibri" w:hAnsi="Calibri" w:eastAsia="宋体" w:cs="Times New Roman"/>
          <w:b/>
          <w:bCs/>
          <w:color w:val="auto"/>
          <w:sz w:val="32"/>
          <w:szCs w:val="32"/>
          <w:highlight w:val="none"/>
        </w:rPr>
      </w:pPr>
      <w:bookmarkStart w:id="1" w:name="_Toc5666"/>
      <w:r>
        <w:rPr>
          <w:rFonts w:hint="eastAsia" w:ascii="Calibri" w:hAnsi="Calibri" w:eastAsia="宋体" w:cs="Times New Roman"/>
          <w:b/>
          <w:bCs/>
          <w:color w:val="auto"/>
          <w:sz w:val="32"/>
          <w:szCs w:val="32"/>
          <w:highlight w:val="none"/>
          <w:lang w:eastAsia="zh-CN"/>
        </w:rPr>
        <w:t>一、</w:t>
      </w:r>
      <w:r>
        <w:rPr>
          <w:rFonts w:hint="eastAsia" w:ascii="Calibri" w:hAnsi="Calibri" w:eastAsia="宋体" w:cs="Times New Roman"/>
          <w:b/>
          <w:bCs/>
          <w:color w:val="auto"/>
          <w:sz w:val="32"/>
          <w:szCs w:val="32"/>
          <w:highlight w:val="none"/>
        </w:rPr>
        <w:t xml:space="preserve"> </w:t>
      </w:r>
      <w:bookmarkEnd w:id="0"/>
      <w:r>
        <w:rPr>
          <w:rFonts w:hint="eastAsia" w:ascii="Calibri" w:hAnsi="Calibri" w:eastAsia="宋体" w:cs="Times New Roman"/>
          <w:b/>
          <w:bCs/>
          <w:color w:val="auto"/>
          <w:sz w:val="32"/>
          <w:szCs w:val="32"/>
          <w:highlight w:val="none"/>
          <w:lang w:eastAsia="zh-CN"/>
        </w:rPr>
        <w:t>基本情况</w:t>
      </w:r>
      <w:bookmarkEnd w:id="1"/>
    </w:p>
    <w:p>
      <w:pPr>
        <w:widowControl w:val="0"/>
        <w:ind w:firstLine="640" w:firstLineChars="200"/>
        <w:outlineLvl w:val="1"/>
        <w:rPr>
          <w:rFonts w:hint="eastAsia" w:ascii="Calibri" w:hAnsi="Calibri" w:eastAsia="宋体" w:cs="Times New Roman"/>
          <w:color w:val="auto"/>
          <w:sz w:val="32"/>
          <w:szCs w:val="32"/>
          <w:highlight w:val="none"/>
        </w:rPr>
      </w:pPr>
      <w:bookmarkStart w:id="2" w:name="_Toc2593"/>
      <w:bookmarkStart w:id="3" w:name="_Toc5159"/>
      <w:bookmarkStart w:id="4" w:name="_Toc357115769"/>
      <w:bookmarkStart w:id="5" w:name="_Toc390159580"/>
      <w:bookmarkStart w:id="6" w:name="_Toc380951425"/>
      <w:bookmarkStart w:id="7" w:name="_Toc390159372"/>
      <w:bookmarkStart w:id="8" w:name="_Toc330644442"/>
      <w:bookmarkStart w:id="9" w:name="_Toc350728442"/>
      <w:r>
        <w:rPr>
          <w:rFonts w:hint="eastAsia" w:ascii="Calibri" w:hAnsi="Calibri" w:eastAsia="宋体" w:cs="Times New Roman"/>
          <w:color w:val="auto"/>
          <w:sz w:val="32"/>
          <w:szCs w:val="32"/>
          <w:highlight w:val="none"/>
        </w:rPr>
        <w:t>1、</w:t>
      </w:r>
      <w:r>
        <w:rPr>
          <w:rFonts w:hint="eastAsia" w:ascii="Calibri" w:hAnsi="Calibri" w:eastAsia="宋体" w:cs="Times New Roman"/>
          <w:color w:val="auto"/>
          <w:sz w:val="32"/>
          <w:szCs w:val="32"/>
          <w:highlight w:val="none"/>
          <w:lang w:val="en-US" w:eastAsia="zh-CN"/>
        </w:rPr>
        <w:t>项目库编号</w:t>
      </w:r>
      <w:bookmarkEnd w:id="2"/>
      <w:bookmarkEnd w:id="3"/>
    </w:p>
    <w:p>
      <w:pPr>
        <w:ind w:firstLine="600" w:firstLineChars="200"/>
        <w:rPr>
          <w:rFonts w:hint="default" w:ascii="宋体" w:hAnsi="宋体" w:cs="宋体"/>
          <w:color w:val="auto"/>
          <w:sz w:val="30"/>
          <w:szCs w:val="30"/>
          <w:highlight w:val="none"/>
          <w:lang w:val="en-US" w:eastAsia="zh-CN"/>
        </w:rPr>
      </w:pPr>
      <w:r>
        <w:rPr>
          <w:rFonts w:hint="eastAsia" w:ascii="宋体" w:hAnsi="宋体" w:cs="宋体"/>
          <w:color w:val="auto"/>
          <w:sz w:val="30"/>
          <w:szCs w:val="30"/>
          <w:highlight w:val="none"/>
          <w:lang w:val="en-US" w:eastAsia="zh-CN"/>
        </w:rPr>
        <w:t>ym2021084</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10" w:name="_Toc23506"/>
      <w:bookmarkStart w:id="11" w:name="_Toc11099"/>
      <w:r>
        <w:rPr>
          <w:rFonts w:hint="eastAsia" w:ascii="Calibri" w:hAnsi="Calibri" w:eastAsia="宋体" w:cs="Times New Roman"/>
          <w:color w:val="auto"/>
          <w:sz w:val="32"/>
          <w:szCs w:val="32"/>
          <w:highlight w:val="none"/>
          <w:lang w:val="en-US" w:eastAsia="zh-CN"/>
        </w:rPr>
        <w:t>2、项目名称</w:t>
      </w:r>
      <w:bookmarkEnd w:id="10"/>
      <w:bookmarkEnd w:id="11"/>
    </w:p>
    <w:p>
      <w:pPr>
        <w:widowControl w:val="0"/>
        <w:ind w:firstLine="600" w:firstLineChars="200"/>
        <w:outlineLvl w:val="1"/>
        <w:rPr>
          <w:rFonts w:hint="eastAsia" w:ascii="宋体" w:hAnsi="宋体" w:eastAsia="宋体" w:cs="宋体"/>
          <w:color w:val="auto"/>
          <w:sz w:val="30"/>
          <w:szCs w:val="30"/>
          <w:highlight w:val="none"/>
        </w:rPr>
      </w:pPr>
      <w:bookmarkStart w:id="12" w:name="_Toc4416"/>
      <w:bookmarkStart w:id="13" w:name="_Toc10855"/>
      <w:r>
        <w:rPr>
          <w:rFonts w:hint="eastAsia" w:ascii="宋体" w:hAnsi="宋体" w:eastAsia="宋体" w:cs="宋体"/>
          <w:color w:val="auto"/>
          <w:sz w:val="30"/>
          <w:szCs w:val="30"/>
          <w:highlight w:val="none"/>
        </w:rPr>
        <w:t>阿勒腾也木勒乡江阿布拉克村饲料加工厂建设项目</w:t>
      </w:r>
    </w:p>
    <w:p>
      <w:pPr>
        <w:widowControl w:val="0"/>
        <w:ind w:firstLine="640" w:firstLineChars="200"/>
        <w:outlineLvl w:val="1"/>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w:t>
      </w:r>
      <w:r>
        <w:rPr>
          <w:rFonts w:hint="eastAsia" w:ascii="Calibri" w:hAnsi="Calibri" w:eastAsia="宋体" w:cs="Times New Roman"/>
          <w:color w:val="auto"/>
          <w:sz w:val="32"/>
          <w:szCs w:val="32"/>
          <w:highlight w:val="none"/>
          <w:lang w:eastAsia="zh-CN"/>
        </w:rPr>
        <w:t>项目主管单位</w:t>
      </w:r>
      <w:bookmarkEnd w:id="12"/>
      <w:bookmarkEnd w:id="13"/>
    </w:p>
    <w:p>
      <w:pPr>
        <w:widowControl w:val="0"/>
        <w:ind w:firstLine="640" w:firstLineChars="200"/>
        <w:rPr>
          <w:rFonts w:hint="default" w:ascii="Calibri" w:hAnsi="Calibri" w:eastAsia="宋体" w:cs="Times New Roman"/>
          <w:sz w:val="32"/>
          <w:szCs w:val="32"/>
          <w:highlight w:val="none"/>
          <w:lang w:val="en-US" w:eastAsia="zh-CN"/>
        </w:rPr>
      </w:pPr>
      <w:bookmarkStart w:id="14" w:name="_Toc19043"/>
      <w:bookmarkStart w:id="15" w:name="_Toc13824"/>
      <w:r>
        <w:rPr>
          <w:rFonts w:hint="eastAsia" w:ascii="Calibri" w:hAnsi="Calibri" w:eastAsia="宋体" w:cs="Times New Roman"/>
          <w:sz w:val="32"/>
          <w:szCs w:val="32"/>
          <w:highlight w:val="none"/>
          <w:lang w:val="en-US" w:eastAsia="zh-CN"/>
        </w:rPr>
        <w:t>裕民县扶贫开发办公室、唐勇</w:t>
      </w:r>
    </w:p>
    <w:p>
      <w:pPr>
        <w:widowControl w:val="0"/>
        <w:ind w:firstLine="640" w:firstLineChars="200"/>
        <w:outlineLvl w:val="1"/>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val="en-US" w:eastAsia="zh-CN"/>
        </w:rPr>
        <w:t>4</w:t>
      </w:r>
      <w:r>
        <w:rPr>
          <w:rFonts w:hint="eastAsia" w:ascii="Calibri" w:hAnsi="Calibri" w:eastAsia="宋体" w:cs="Times New Roman"/>
          <w:color w:val="auto"/>
          <w:sz w:val="32"/>
          <w:szCs w:val="32"/>
          <w:highlight w:val="none"/>
        </w:rPr>
        <w:t>、</w:t>
      </w:r>
      <w:r>
        <w:rPr>
          <w:rFonts w:hint="eastAsia" w:ascii="Calibri" w:hAnsi="Calibri" w:eastAsia="宋体" w:cs="Times New Roman"/>
          <w:color w:val="auto"/>
          <w:sz w:val="32"/>
          <w:szCs w:val="32"/>
          <w:highlight w:val="none"/>
          <w:lang w:eastAsia="zh-CN"/>
        </w:rPr>
        <w:t>项目实施单位</w:t>
      </w:r>
      <w:bookmarkEnd w:id="14"/>
      <w:bookmarkEnd w:id="1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宋体" w:hAnsi="宋体" w:cs="宋体"/>
          <w:color w:val="auto"/>
          <w:sz w:val="32"/>
          <w:szCs w:val="32"/>
          <w:highlight w:val="none"/>
          <w:lang w:val="en-US" w:eastAsia="zh-CN"/>
        </w:rPr>
        <w:t>裕民县阿勒腾也木勒乡人民政府</w:t>
      </w:r>
      <w:r>
        <w:rPr>
          <w:rFonts w:hint="eastAsia" w:ascii="Calibri" w:hAnsi="Calibri" w:eastAsia="宋体" w:cs="Times New Roman"/>
          <w:sz w:val="32"/>
          <w:szCs w:val="32"/>
          <w:highlight w:val="none"/>
          <w:lang w:val="en-US" w:eastAsia="zh-CN"/>
        </w:rPr>
        <w:t>、宫韶鹏</w:t>
      </w:r>
    </w:p>
    <w:p>
      <w:pPr>
        <w:widowControl w:val="0"/>
        <w:ind w:firstLine="640" w:firstLineChars="200"/>
        <w:outlineLvl w:val="1"/>
        <w:rPr>
          <w:rFonts w:hint="eastAsia" w:ascii="Calibri" w:hAnsi="Calibri" w:eastAsia="宋体" w:cs="Times New Roman"/>
          <w:color w:val="auto"/>
          <w:sz w:val="32"/>
          <w:szCs w:val="32"/>
          <w:highlight w:val="none"/>
          <w:lang w:eastAsia="zh-CN"/>
        </w:rPr>
      </w:pPr>
      <w:bookmarkStart w:id="16" w:name="_Toc13545"/>
      <w:bookmarkStart w:id="17" w:name="_Toc18407"/>
      <w:r>
        <w:rPr>
          <w:rFonts w:hint="eastAsia" w:ascii="Calibri" w:hAnsi="Calibri" w:eastAsia="宋体" w:cs="Times New Roman"/>
          <w:color w:val="auto"/>
          <w:sz w:val="32"/>
          <w:szCs w:val="32"/>
          <w:highlight w:val="none"/>
          <w:lang w:val="en-US" w:eastAsia="zh-CN"/>
        </w:rPr>
        <w:t>5</w:t>
      </w:r>
      <w:r>
        <w:rPr>
          <w:rFonts w:hint="eastAsia" w:ascii="Calibri" w:hAnsi="Calibri" w:eastAsia="宋体" w:cs="Times New Roman"/>
          <w:color w:val="auto"/>
          <w:sz w:val="32"/>
          <w:szCs w:val="32"/>
          <w:highlight w:val="none"/>
        </w:rPr>
        <w:t>、</w:t>
      </w:r>
      <w:r>
        <w:rPr>
          <w:rFonts w:hint="eastAsia" w:ascii="Calibri" w:hAnsi="Calibri" w:eastAsia="宋体" w:cs="Times New Roman"/>
          <w:color w:val="auto"/>
          <w:sz w:val="32"/>
          <w:szCs w:val="32"/>
          <w:highlight w:val="none"/>
          <w:lang w:eastAsia="zh-CN"/>
        </w:rPr>
        <w:t>项目建设性质</w:t>
      </w:r>
      <w:bookmarkEnd w:id="16"/>
      <w:bookmarkEnd w:id="17"/>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 xml:space="preserve">新建  </w:t>
      </w:r>
    </w:p>
    <w:p>
      <w:pPr>
        <w:widowControl w:val="0"/>
        <w:ind w:firstLine="640" w:firstLineChars="200"/>
        <w:outlineLvl w:val="1"/>
        <w:rPr>
          <w:rFonts w:hint="eastAsia" w:ascii="Calibri" w:hAnsi="Calibri" w:eastAsia="宋体" w:cs="Times New Roman"/>
          <w:color w:val="auto"/>
          <w:sz w:val="32"/>
          <w:szCs w:val="32"/>
          <w:highlight w:val="none"/>
        </w:rPr>
      </w:pPr>
      <w:bookmarkStart w:id="18" w:name="_Toc24382"/>
      <w:bookmarkStart w:id="19" w:name="_Toc29956"/>
      <w:r>
        <w:rPr>
          <w:rFonts w:hint="eastAsia" w:ascii="Calibri" w:hAnsi="Calibri" w:eastAsia="宋体" w:cs="Times New Roman"/>
          <w:color w:val="auto"/>
          <w:sz w:val="32"/>
          <w:szCs w:val="32"/>
          <w:highlight w:val="none"/>
          <w:lang w:val="en-US" w:eastAsia="zh-CN"/>
        </w:rPr>
        <w:t>6</w:t>
      </w:r>
      <w:r>
        <w:rPr>
          <w:rFonts w:hint="eastAsia" w:ascii="Calibri" w:hAnsi="Calibri" w:eastAsia="宋体" w:cs="Times New Roman"/>
          <w:color w:val="auto"/>
          <w:sz w:val="32"/>
          <w:szCs w:val="32"/>
          <w:highlight w:val="none"/>
        </w:rPr>
        <w:t>、项目类别</w:t>
      </w:r>
      <w:bookmarkEnd w:id="18"/>
      <w:bookmarkEnd w:id="19"/>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cs="Times New Roman"/>
          <w:color w:val="auto"/>
          <w:sz w:val="32"/>
          <w:szCs w:val="32"/>
          <w:highlight w:val="none"/>
          <w:lang w:val="en-US" w:eastAsia="zh-CN"/>
        </w:rPr>
        <w:t>产业项目</w:t>
      </w:r>
      <w:r>
        <w:rPr>
          <w:rFonts w:hint="eastAsia" w:ascii="Calibri" w:hAnsi="Calibri" w:eastAsia="宋体" w:cs="Times New Roman"/>
          <w:color w:val="auto"/>
          <w:sz w:val="32"/>
          <w:szCs w:val="32"/>
          <w:highlight w:val="none"/>
          <w:lang w:val="en-US" w:eastAsia="zh-CN"/>
        </w:rPr>
        <w:t xml:space="preserve">  </w:t>
      </w:r>
    </w:p>
    <w:p>
      <w:pPr>
        <w:widowControl w:val="0"/>
        <w:ind w:firstLine="640" w:firstLineChars="200"/>
        <w:outlineLvl w:val="1"/>
        <w:rPr>
          <w:rFonts w:hint="eastAsia" w:ascii="Calibri" w:hAnsi="Calibri" w:eastAsia="宋体" w:cs="Times New Roman"/>
          <w:color w:val="auto"/>
          <w:sz w:val="32"/>
          <w:szCs w:val="32"/>
          <w:highlight w:val="none"/>
        </w:rPr>
      </w:pPr>
      <w:bookmarkStart w:id="20" w:name="_Toc23396"/>
      <w:bookmarkStart w:id="21" w:name="_Toc1662"/>
      <w:r>
        <w:rPr>
          <w:rFonts w:hint="eastAsia" w:ascii="Calibri" w:hAnsi="Calibri" w:eastAsia="宋体" w:cs="Times New Roman"/>
          <w:color w:val="auto"/>
          <w:sz w:val="32"/>
          <w:szCs w:val="32"/>
          <w:highlight w:val="none"/>
          <w:lang w:val="en-US" w:eastAsia="zh-CN"/>
        </w:rPr>
        <w:t>7、</w:t>
      </w:r>
      <w:r>
        <w:rPr>
          <w:rFonts w:hint="eastAsia" w:ascii="Calibri" w:hAnsi="Calibri" w:eastAsia="宋体" w:cs="Times New Roman"/>
          <w:color w:val="auto"/>
          <w:sz w:val="32"/>
          <w:szCs w:val="32"/>
          <w:highlight w:val="none"/>
          <w:lang w:eastAsia="zh-CN"/>
        </w:rPr>
        <w:t>项目建设内容</w:t>
      </w:r>
      <w:bookmarkEnd w:id="20"/>
      <w:bookmarkEnd w:id="21"/>
    </w:p>
    <w:p>
      <w:pPr>
        <w:widowControl w:val="0"/>
        <w:ind w:firstLine="640" w:firstLineChars="200"/>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新建饲料加工厂房200平方米左右、饲草料库200平方米左右及相关配套设施，购置秸秆粉碎机和饲料颗粒机揉搓机，最终以设计为准，共计资金114.7532万元。</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2" w:name="_Toc2992"/>
      <w:bookmarkStart w:id="23" w:name="_Toc778"/>
      <w:r>
        <w:rPr>
          <w:rFonts w:hint="eastAsia" w:ascii="Calibri" w:hAnsi="Calibri" w:eastAsia="宋体" w:cs="Times New Roman"/>
          <w:color w:val="auto"/>
          <w:sz w:val="32"/>
          <w:szCs w:val="32"/>
          <w:highlight w:val="none"/>
          <w:lang w:val="en-US" w:eastAsia="zh-CN"/>
        </w:rPr>
        <w:t>8、项目建设期限</w:t>
      </w:r>
      <w:bookmarkEnd w:id="22"/>
      <w:bookmarkEnd w:id="23"/>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val="en-US" w:eastAsia="zh-CN"/>
        </w:rPr>
        <w:t>项目建设期限为2021年</w:t>
      </w:r>
      <w:r>
        <w:rPr>
          <w:rFonts w:hint="eastAsia" w:cs="Times New Roman"/>
          <w:color w:val="auto"/>
          <w:sz w:val="32"/>
          <w:szCs w:val="32"/>
          <w:highlight w:val="none"/>
          <w:lang w:val="en-US" w:eastAsia="zh-CN"/>
        </w:rPr>
        <w:t>6</w:t>
      </w:r>
      <w:r>
        <w:rPr>
          <w:rFonts w:hint="eastAsia" w:ascii="Calibri" w:hAnsi="Calibri" w:eastAsia="宋体" w:cs="Times New Roman"/>
          <w:color w:val="auto"/>
          <w:sz w:val="32"/>
          <w:szCs w:val="32"/>
          <w:highlight w:val="none"/>
          <w:lang w:val="en-US" w:eastAsia="zh-CN"/>
        </w:rPr>
        <w:t>月-</w:t>
      </w:r>
      <w:r>
        <w:rPr>
          <w:rFonts w:hint="eastAsia" w:cs="Times New Roman"/>
          <w:color w:val="auto"/>
          <w:sz w:val="32"/>
          <w:szCs w:val="32"/>
          <w:highlight w:val="none"/>
          <w:lang w:val="en-US" w:eastAsia="zh-CN"/>
        </w:rPr>
        <w:t>9</w:t>
      </w:r>
      <w:r>
        <w:rPr>
          <w:rFonts w:hint="eastAsia" w:ascii="Calibri" w:hAnsi="Calibri" w:eastAsia="宋体" w:cs="Times New Roman"/>
          <w:color w:val="auto"/>
          <w:sz w:val="32"/>
          <w:szCs w:val="32"/>
          <w:highlight w:val="none"/>
          <w:lang w:val="en-US" w:eastAsia="zh-CN"/>
        </w:rPr>
        <w:t>月底</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4" w:name="_Toc567"/>
      <w:bookmarkStart w:id="25" w:name="_Toc20467"/>
      <w:r>
        <w:rPr>
          <w:rFonts w:hint="eastAsia" w:ascii="Calibri" w:hAnsi="Calibri" w:eastAsia="宋体" w:cs="Times New Roman"/>
          <w:color w:val="auto"/>
          <w:sz w:val="32"/>
          <w:szCs w:val="32"/>
          <w:highlight w:val="none"/>
          <w:lang w:val="en-US" w:eastAsia="zh-CN"/>
        </w:rPr>
        <w:t>9、项目建设地点及基本情况</w:t>
      </w:r>
      <w:bookmarkEnd w:id="24"/>
      <w:bookmarkEnd w:id="25"/>
    </w:p>
    <w:bookmarkEnd w:id="4"/>
    <w:bookmarkEnd w:id="5"/>
    <w:bookmarkEnd w:id="6"/>
    <w:bookmarkEnd w:id="7"/>
    <w:bookmarkEnd w:id="8"/>
    <w:bookmarkEnd w:id="9"/>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裕民县</w:t>
      </w:r>
      <w:r>
        <w:rPr>
          <w:rFonts w:hint="eastAsia" w:cs="Times New Roman"/>
          <w:color w:val="auto"/>
          <w:sz w:val="32"/>
          <w:szCs w:val="32"/>
          <w:highlight w:val="none"/>
          <w:lang w:val="en-US" w:eastAsia="zh-CN"/>
        </w:rPr>
        <w:t>阿勒腾也木勒乡江阿布拉克村</w:t>
      </w:r>
      <w:r>
        <w:rPr>
          <w:rFonts w:hint="eastAsia" w:ascii="Calibri" w:hAnsi="Calibri" w:eastAsia="宋体" w:cs="Times New Roman"/>
          <w:color w:val="auto"/>
          <w:sz w:val="32"/>
          <w:szCs w:val="32"/>
          <w:highlight w:val="none"/>
          <w:lang w:val="en-US" w:eastAsia="zh-CN"/>
        </w:rPr>
        <w:t>内，</w:t>
      </w:r>
      <w:r>
        <w:rPr>
          <w:rFonts w:hint="eastAsia" w:cs="Times New Roman"/>
          <w:color w:val="auto"/>
          <w:sz w:val="32"/>
          <w:szCs w:val="32"/>
          <w:highlight w:val="none"/>
          <w:lang w:val="en-US" w:eastAsia="zh-CN"/>
        </w:rPr>
        <w:t>江阿布拉克村</w:t>
      </w:r>
      <w:r>
        <w:rPr>
          <w:rFonts w:hint="eastAsia" w:ascii="Calibri" w:hAnsi="Calibri" w:eastAsia="宋体" w:cs="Times New Roman"/>
          <w:color w:val="auto"/>
          <w:sz w:val="32"/>
          <w:szCs w:val="32"/>
          <w:highlight w:val="none"/>
          <w:lang w:val="en-US" w:eastAsia="zh-CN"/>
        </w:rPr>
        <w:t>位于县城</w:t>
      </w:r>
      <w:r>
        <w:rPr>
          <w:rFonts w:hint="eastAsia" w:cs="Times New Roman"/>
          <w:color w:val="auto"/>
          <w:sz w:val="32"/>
          <w:szCs w:val="32"/>
          <w:highlight w:val="none"/>
          <w:lang w:val="en-US" w:eastAsia="zh-CN"/>
        </w:rPr>
        <w:t>最东端</w:t>
      </w:r>
      <w:r>
        <w:rPr>
          <w:rFonts w:hint="eastAsia" w:ascii="Calibri" w:hAnsi="Calibri" w:eastAsia="宋体" w:cs="Times New Roman"/>
          <w:color w:val="auto"/>
          <w:sz w:val="32"/>
          <w:szCs w:val="32"/>
          <w:highlight w:val="none"/>
          <w:lang w:val="en-US" w:eastAsia="zh-CN"/>
        </w:rPr>
        <w:t>，是一个以牧为主</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lang w:val="en-US" w:eastAsia="zh-CN"/>
        </w:rPr>
        <w:t>农牧结合的行政村，全村户籍</w:t>
      </w:r>
      <w:r>
        <w:rPr>
          <w:rFonts w:hint="eastAsia" w:ascii="宋体" w:hAnsi="宋体" w:eastAsia="宋体" w:cs="宋体"/>
          <w:b w:val="0"/>
          <w:bCs w:val="0"/>
          <w:color w:val="000000"/>
          <w:sz w:val="32"/>
          <w:szCs w:val="32"/>
          <w:lang w:val="en-US" w:eastAsia="zh-CN"/>
        </w:rPr>
        <w:t>江阿布拉克村</w:t>
      </w:r>
      <w:r>
        <w:rPr>
          <w:rFonts w:hint="eastAsia" w:ascii="宋体" w:hAnsi="宋体" w:eastAsia="宋体" w:cs="宋体"/>
          <w:color w:val="000000"/>
          <w:sz w:val="32"/>
          <w:szCs w:val="32"/>
          <w:lang w:val="en-US" w:eastAsia="zh-CN"/>
        </w:rPr>
        <w:t>633户2166人，建档立卡31</w:t>
      </w:r>
      <w:r>
        <w:rPr>
          <w:rFonts w:hint="eastAsia" w:ascii="宋体" w:hAnsi="宋体" w:cs="宋体"/>
          <w:color w:val="000000"/>
          <w:sz w:val="32"/>
          <w:szCs w:val="32"/>
          <w:lang w:val="en-US" w:eastAsia="zh-CN"/>
        </w:rPr>
        <w:t>5</w:t>
      </w:r>
      <w:r>
        <w:rPr>
          <w:rFonts w:hint="eastAsia" w:ascii="宋体" w:hAnsi="宋体" w:eastAsia="宋体" w:cs="宋体"/>
          <w:color w:val="000000"/>
          <w:sz w:val="32"/>
          <w:szCs w:val="32"/>
          <w:lang w:val="en-US" w:eastAsia="zh-CN"/>
        </w:rPr>
        <w:t>户1098人。全村有3个牧区，其中塔拉依克牧区地处塔斯提风景区、勃尔尼开牧区地处库鲁斯台草原、玛依勒牧区地处玛依勒山冬牧场，有147户501名群众分散居住在3个牧区，</w:t>
      </w:r>
      <w:r>
        <w:rPr>
          <w:rFonts w:hint="eastAsia" w:ascii="宋体" w:hAnsi="宋体" w:eastAsia="宋体" w:cs="宋体"/>
          <w:i w:val="0"/>
          <w:caps w:val="0"/>
          <w:color w:val="000000"/>
          <w:spacing w:val="0"/>
          <w:sz w:val="32"/>
          <w:szCs w:val="32"/>
          <w:shd w:val="clear" w:color="auto" w:fill="FFFFFF"/>
        </w:rPr>
        <w:t>一年四季过着游牧转场的生活</w:t>
      </w:r>
      <w:r>
        <w:rPr>
          <w:rFonts w:hint="eastAsia" w:ascii="宋体" w:hAnsi="宋体" w:cs="宋体"/>
          <w:i w:val="0"/>
          <w:caps w:val="0"/>
          <w:color w:val="000000"/>
          <w:spacing w:val="0"/>
          <w:sz w:val="32"/>
          <w:szCs w:val="32"/>
          <w:shd w:val="clear" w:color="auto" w:fill="FFFFFF"/>
          <w:lang w:eastAsia="zh-CN"/>
        </w:rPr>
        <w:t>，</w:t>
      </w:r>
      <w:r>
        <w:rPr>
          <w:rFonts w:hint="eastAsia" w:ascii="Calibri" w:hAnsi="Calibri" w:eastAsia="宋体" w:cs="Times New Roman"/>
          <w:color w:val="auto"/>
          <w:sz w:val="32"/>
          <w:szCs w:val="32"/>
          <w:highlight w:val="none"/>
          <w:lang w:val="en-US" w:eastAsia="zh-CN"/>
        </w:rPr>
        <w:t>贫困发生率为0%。</w:t>
      </w:r>
    </w:p>
    <w:p>
      <w:pPr>
        <w:widowControl w:val="0"/>
        <w:ind w:firstLine="643" w:firstLineChars="200"/>
        <w:outlineLvl w:val="0"/>
        <w:rPr>
          <w:rFonts w:hint="eastAsia" w:ascii="Calibri" w:hAnsi="Calibri" w:eastAsia="宋体" w:cs="Times New Roman"/>
          <w:b/>
          <w:bCs/>
          <w:color w:val="auto"/>
          <w:sz w:val="32"/>
          <w:szCs w:val="32"/>
          <w:highlight w:val="none"/>
          <w:lang w:eastAsia="zh-CN"/>
        </w:rPr>
      </w:pPr>
      <w:bookmarkStart w:id="26" w:name="_Toc26490"/>
      <w:r>
        <w:rPr>
          <w:rFonts w:hint="eastAsia" w:ascii="Calibri" w:hAnsi="Calibri" w:eastAsia="宋体" w:cs="Times New Roman"/>
          <w:b/>
          <w:bCs/>
          <w:color w:val="auto"/>
          <w:sz w:val="32"/>
          <w:szCs w:val="32"/>
          <w:highlight w:val="none"/>
          <w:lang w:eastAsia="zh-CN"/>
        </w:rPr>
        <w:t>二、项目立项情况</w:t>
      </w:r>
      <w:bookmarkEnd w:id="26"/>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7" w:name="_Toc15283"/>
      <w:bookmarkStart w:id="28" w:name="_Toc2967"/>
      <w:r>
        <w:rPr>
          <w:rFonts w:hint="eastAsia" w:ascii="Calibri" w:hAnsi="Calibri" w:eastAsia="宋体" w:cs="Times New Roman"/>
          <w:color w:val="auto"/>
          <w:sz w:val="32"/>
          <w:szCs w:val="32"/>
          <w:highlight w:val="none"/>
          <w:lang w:val="en-US" w:eastAsia="zh-CN"/>
        </w:rPr>
        <w:t>1、项目建设依据</w:t>
      </w:r>
      <w:bookmarkEnd w:id="27"/>
      <w:bookmarkEnd w:id="28"/>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1</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《中共中央关于制定国民经济和社会发展第</w:t>
      </w:r>
      <w:r>
        <w:rPr>
          <w:rFonts w:hint="eastAsia" w:cs="Times New Roman"/>
          <w:color w:val="auto"/>
          <w:sz w:val="32"/>
          <w:szCs w:val="32"/>
          <w:highlight w:val="none"/>
          <w:lang w:eastAsia="zh-CN"/>
        </w:rPr>
        <w:t>十四个五</w:t>
      </w:r>
      <w:r>
        <w:rPr>
          <w:rFonts w:hint="eastAsia" w:ascii="Calibri" w:hAnsi="Calibri" w:eastAsia="宋体" w:cs="Times New Roman"/>
          <w:color w:val="auto"/>
          <w:sz w:val="32"/>
          <w:szCs w:val="32"/>
          <w:highlight w:val="none"/>
        </w:rPr>
        <w:t>年规划》；</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2</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国务院《于实施乡村振兴战略的意见》；</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《裕民县</w:t>
      </w:r>
      <w:r>
        <w:rPr>
          <w:rFonts w:hint="eastAsia" w:cs="Times New Roman"/>
          <w:color w:val="auto"/>
          <w:sz w:val="32"/>
          <w:szCs w:val="32"/>
          <w:highlight w:val="none"/>
          <w:lang w:eastAsia="zh-CN"/>
        </w:rPr>
        <w:t>十四五</w:t>
      </w:r>
      <w:r>
        <w:rPr>
          <w:rFonts w:hint="eastAsia" w:ascii="Calibri" w:hAnsi="Calibri" w:eastAsia="宋体" w:cs="Times New Roman"/>
          <w:color w:val="auto"/>
          <w:sz w:val="32"/>
          <w:szCs w:val="32"/>
          <w:highlight w:val="none"/>
        </w:rPr>
        <w:t>发展规划》；</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4</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《财政专项资金管理办法》；</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5</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《建设项目经济评价方法与参数》第三版；</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6</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《投资项目可行性研究指南》（试用版）；</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7</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 xml:space="preserve"> 建设单位提供的其他与项目有关的资料。</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8</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《城市道路设计规范》CJJ169-2012</w:t>
      </w:r>
    </w:p>
    <w:p>
      <w:pPr>
        <w:widowControl w:val="0"/>
        <w:ind w:firstLine="640" w:firstLineChars="200"/>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lang w:val="en-US" w:eastAsia="zh-CN"/>
        </w:rPr>
        <w:t>9</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《工程地质手册》(第五版)</w:t>
      </w:r>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29" w:name="_Toc22593"/>
      <w:bookmarkStart w:id="30" w:name="_Toc24756"/>
      <w:r>
        <w:rPr>
          <w:rFonts w:hint="eastAsia" w:ascii="Calibri" w:hAnsi="Calibri" w:eastAsia="宋体" w:cs="Times New Roman"/>
          <w:color w:val="auto"/>
          <w:sz w:val="32"/>
          <w:szCs w:val="32"/>
          <w:highlight w:val="none"/>
          <w:lang w:val="en-US" w:eastAsia="zh-CN"/>
        </w:rPr>
        <w:t>2、项目建设的必要性和可行性</w:t>
      </w:r>
      <w:bookmarkEnd w:id="29"/>
      <w:bookmarkEnd w:id="30"/>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按照党的十九大关于</w:t>
      </w:r>
      <w:r>
        <w:rPr>
          <w:rFonts w:hint="eastAsia" w:ascii="Calibri" w:hAnsi="Calibri" w:eastAsia="宋体" w:cs="Times New Roman"/>
          <w:color w:val="auto"/>
          <w:sz w:val="32"/>
          <w:szCs w:val="32"/>
          <w:highlight w:val="none"/>
          <w:lang w:val="en-US" w:eastAsia="zh-CN"/>
        </w:rPr>
        <w:t>巩固提升改造</w:t>
      </w:r>
      <w:r>
        <w:rPr>
          <w:rFonts w:hint="eastAsia" w:ascii="Calibri" w:hAnsi="Calibri" w:eastAsia="宋体" w:cs="Times New Roman"/>
          <w:color w:val="auto"/>
          <w:sz w:val="32"/>
          <w:szCs w:val="32"/>
          <w:highlight w:val="none"/>
        </w:rPr>
        <w:t>总体部署，根据各地区各部门贯彻落实《中共中央、国务院关于</w:t>
      </w:r>
      <w:r>
        <w:rPr>
          <w:rFonts w:hint="eastAsia" w:ascii="Calibri" w:hAnsi="Calibri" w:eastAsia="宋体" w:cs="Times New Roman"/>
          <w:color w:val="auto"/>
          <w:sz w:val="32"/>
          <w:szCs w:val="32"/>
          <w:highlight w:val="none"/>
          <w:lang w:val="en-US" w:eastAsia="zh-CN"/>
        </w:rPr>
        <w:t>巩固提升改造</w:t>
      </w:r>
      <w:r>
        <w:rPr>
          <w:rFonts w:hint="eastAsia" w:ascii="Calibri" w:hAnsi="Calibri" w:eastAsia="宋体" w:cs="Times New Roman"/>
          <w:color w:val="auto"/>
          <w:sz w:val="32"/>
          <w:szCs w:val="32"/>
          <w:highlight w:val="none"/>
        </w:rPr>
        <w:t>的决定》支持发展特色产业。规范和推动资产收益工作，确保</w:t>
      </w:r>
      <w:r>
        <w:rPr>
          <w:rFonts w:hint="eastAsia" w:ascii="Calibri" w:hAnsi="Calibri" w:eastAsia="宋体" w:cs="Times New Roman"/>
          <w:color w:val="auto"/>
          <w:sz w:val="32"/>
          <w:szCs w:val="32"/>
          <w:highlight w:val="none"/>
          <w:lang w:val="en-US" w:eastAsia="zh-CN"/>
        </w:rPr>
        <w:t>当地农牧民</w:t>
      </w:r>
      <w:r>
        <w:rPr>
          <w:rFonts w:hint="eastAsia" w:ascii="Calibri" w:hAnsi="Calibri" w:eastAsia="宋体" w:cs="Times New Roman"/>
          <w:color w:val="auto"/>
          <w:sz w:val="32"/>
          <w:szCs w:val="32"/>
          <w:highlight w:val="none"/>
        </w:rPr>
        <w:t>获得稳定收益。</w:t>
      </w:r>
    </w:p>
    <w:p>
      <w:pPr>
        <w:widowControl w:val="0"/>
        <w:ind w:firstLine="600" w:firstLineChars="200"/>
        <w:rPr>
          <w:rFonts w:hint="eastAsia" w:ascii="Calibri" w:hAnsi="Calibri" w:eastAsia="宋体" w:cs="Times New Roman"/>
          <w:color w:val="auto"/>
          <w:sz w:val="32"/>
          <w:szCs w:val="32"/>
          <w:highlight w:val="none"/>
        </w:rPr>
      </w:pPr>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属于农村</w:t>
      </w:r>
      <w:r>
        <w:rPr>
          <w:rFonts w:hint="eastAsia" w:cs="Times New Roman"/>
          <w:color w:val="auto"/>
          <w:sz w:val="32"/>
          <w:szCs w:val="32"/>
          <w:highlight w:val="none"/>
          <w:lang w:eastAsia="zh-CN"/>
        </w:rPr>
        <w:t>产业类</w:t>
      </w:r>
      <w:r>
        <w:rPr>
          <w:rFonts w:hint="eastAsia" w:ascii="Calibri" w:hAnsi="Calibri" w:eastAsia="宋体" w:cs="Times New Roman"/>
          <w:color w:val="auto"/>
          <w:sz w:val="32"/>
          <w:szCs w:val="32"/>
          <w:highlight w:val="none"/>
        </w:rPr>
        <w:t>的建设与完善，直接可以为农民造福，对农村的经济发展起到不可替代的作用。</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综上所述，</w:t>
      </w:r>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的建设是为了满足农业生产的需求，通过本项目实施的分析研究，</w:t>
      </w:r>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的建设不仅是必要的，也是及时的。</w:t>
      </w:r>
    </w:p>
    <w:p>
      <w:pPr>
        <w:widowControl w:val="0"/>
        <w:ind w:firstLine="643" w:firstLineChars="200"/>
        <w:outlineLvl w:val="0"/>
        <w:rPr>
          <w:rFonts w:hint="eastAsia" w:ascii="Calibri" w:hAnsi="Calibri" w:eastAsia="宋体" w:cs="Times New Roman"/>
          <w:b/>
          <w:bCs/>
          <w:color w:val="auto"/>
          <w:sz w:val="32"/>
          <w:szCs w:val="32"/>
          <w:highlight w:val="none"/>
          <w:lang w:val="en-US" w:eastAsia="zh-CN"/>
        </w:rPr>
      </w:pPr>
      <w:bookmarkStart w:id="31" w:name="_Toc26930"/>
      <w:r>
        <w:rPr>
          <w:rFonts w:hint="eastAsia" w:cs="Times New Roman"/>
          <w:b/>
          <w:bCs/>
          <w:color w:val="auto"/>
          <w:sz w:val="32"/>
          <w:szCs w:val="32"/>
          <w:highlight w:val="none"/>
          <w:lang w:val="en-US" w:eastAsia="zh-CN"/>
        </w:rPr>
        <w:t>三、</w:t>
      </w:r>
      <w:r>
        <w:rPr>
          <w:rFonts w:hint="eastAsia" w:ascii="Calibri" w:hAnsi="Calibri" w:eastAsia="宋体" w:cs="Times New Roman"/>
          <w:b/>
          <w:bCs/>
          <w:color w:val="auto"/>
          <w:sz w:val="32"/>
          <w:szCs w:val="32"/>
          <w:highlight w:val="none"/>
          <w:lang w:val="en-US" w:eastAsia="zh-CN"/>
        </w:rPr>
        <w:t>项目施工设计</w:t>
      </w:r>
      <w:bookmarkEnd w:id="31"/>
    </w:p>
    <w:p>
      <w:pPr>
        <w:widowControl w:val="0"/>
        <w:ind w:firstLine="640" w:firstLineChars="200"/>
        <w:outlineLvl w:val="1"/>
        <w:rPr>
          <w:rFonts w:hint="eastAsia" w:ascii="宋体" w:hAnsi="宋体" w:eastAsia="宋体" w:cs="宋体"/>
          <w:color w:val="auto"/>
          <w:sz w:val="30"/>
          <w:szCs w:val="30"/>
          <w:highlight w:val="none"/>
        </w:rPr>
      </w:pPr>
      <w:bookmarkStart w:id="32" w:name="_Toc13685"/>
      <w:bookmarkStart w:id="33" w:name="_Toc19673"/>
      <w:r>
        <w:rPr>
          <w:rFonts w:hint="eastAsia" w:ascii="Calibri" w:hAnsi="Calibri" w:eastAsia="宋体" w:cs="Times New Roman"/>
          <w:color w:val="auto"/>
          <w:sz w:val="32"/>
          <w:szCs w:val="32"/>
          <w:highlight w:val="none"/>
        </w:rPr>
        <w:t>建设规模及技术标准</w:t>
      </w:r>
      <w:r>
        <w:rPr>
          <w:rFonts w:hint="eastAsia" w:ascii="Calibri" w:hAnsi="Calibri" w:eastAsia="宋体" w:cs="Times New Roman"/>
          <w:color w:val="auto"/>
          <w:sz w:val="32"/>
          <w:szCs w:val="32"/>
          <w:highlight w:val="none"/>
          <w:lang w:eastAsia="zh-CN"/>
        </w:rPr>
        <w:t>：</w:t>
      </w:r>
      <w:bookmarkEnd w:id="32"/>
      <w:bookmarkEnd w:id="33"/>
      <w:r>
        <w:rPr>
          <w:rFonts w:hint="eastAsia" w:ascii="宋体" w:hAnsi="宋体" w:eastAsia="宋体" w:cs="宋体"/>
          <w:color w:val="auto"/>
          <w:sz w:val="30"/>
          <w:szCs w:val="30"/>
          <w:highlight w:val="none"/>
        </w:rPr>
        <w:t>裕民县</w:t>
      </w:r>
      <w:r>
        <w:rPr>
          <w:rFonts w:hint="eastAsia" w:ascii="宋体" w:hAnsi="宋体" w:cs="宋体"/>
          <w:color w:val="auto"/>
          <w:sz w:val="30"/>
          <w:szCs w:val="30"/>
          <w:highlight w:val="none"/>
          <w:lang w:eastAsia="zh-CN"/>
        </w:rPr>
        <w:t>阿勒腾也木勒乡江阿布拉克村饲料加工厂</w:t>
      </w:r>
      <w:r>
        <w:rPr>
          <w:rFonts w:hint="eastAsia" w:ascii="宋体" w:hAnsi="宋体" w:eastAsia="宋体" w:cs="宋体"/>
          <w:color w:val="auto"/>
          <w:sz w:val="30"/>
          <w:szCs w:val="30"/>
          <w:highlight w:val="none"/>
        </w:rPr>
        <w:t>建设项目</w:t>
      </w:r>
      <w:r>
        <w:rPr>
          <w:rFonts w:hint="eastAsia" w:ascii="Calibri" w:hAnsi="Calibri" w:eastAsia="宋体" w:cs="Times New Roman"/>
          <w:color w:val="auto"/>
          <w:sz w:val="32"/>
          <w:szCs w:val="32"/>
          <w:highlight w:val="none"/>
        </w:rPr>
        <w:t>，根据交通量预测及项目在路网中的地位和作用，按《城市</w:t>
      </w:r>
      <w:r>
        <w:rPr>
          <w:rFonts w:hint="eastAsia" w:cs="Times New Roman"/>
          <w:color w:val="auto"/>
          <w:sz w:val="32"/>
          <w:szCs w:val="32"/>
          <w:highlight w:val="none"/>
          <w:lang w:eastAsia="zh-CN"/>
        </w:rPr>
        <w:t>房建</w:t>
      </w:r>
      <w:r>
        <w:rPr>
          <w:rFonts w:hint="eastAsia" w:ascii="Calibri" w:hAnsi="Calibri" w:eastAsia="宋体" w:cs="Times New Roman"/>
          <w:color w:val="auto"/>
          <w:sz w:val="32"/>
          <w:szCs w:val="32"/>
          <w:highlight w:val="none"/>
        </w:rPr>
        <w:t>工程规范》的规定，经过</w:t>
      </w:r>
      <w:r>
        <w:rPr>
          <w:rFonts w:hint="eastAsia" w:ascii="Calibri" w:hAnsi="Calibri" w:eastAsia="宋体" w:cs="Times New Roman"/>
          <w:color w:val="auto"/>
          <w:sz w:val="32"/>
          <w:szCs w:val="32"/>
          <w:highlight w:val="none"/>
          <w:lang w:val="en-US" w:eastAsia="zh-CN"/>
        </w:rPr>
        <w:t>方案</w:t>
      </w:r>
      <w:r>
        <w:rPr>
          <w:rFonts w:hint="eastAsia" w:ascii="Calibri" w:hAnsi="Calibri" w:eastAsia="宋体" w:cs="Times New Roman"/>
          <w:color w:val="auto"/>
          <w:sz w:val="32"/>
          <w:szCs w:val="32"/>
          <w:highlight w:val="none"/>
        </w:rPr>
        <w:t>比选，</w:t>
      </w:r>
      <w:r>
        <w:rPr>
          <w:rFonts w:hint="eastAsia" w:ascii="宋体" w:hAnsi="宋体" w:cs="宋体"/>
          <w:color w:val="auto"/>
          <w:sz w:val="30"/>
          <w:szCs w:val="30"/>
          <w:highlight w:val="none"/>
          <w:lang w:val="en-US" w:eastAsia="zh-CN"/>
        </w:rPr>
        <w:t>饲料加工厂</w:t>
      </w:r>
      <w:r>
        <w:rPr>
          <w:rFonts w:hint="eastAsia" w:ascii="宋体" w:hAnsi="宋体" w:eastAsia="宋体" w:cs="宋体"/>
          <w:color w:val="auto"/>
          <w:sz w:val="30"/>
          <w:szCs w:val="30"/>
          <w:highlight w:val="none"/>
        </w:rPr>
        <w:t>建设必须遵循国家经济建设的方针政策，符合法律法规，体现“以人为本”的建设理念，从我国实际情况出发，立足当前，兼顾发展，统筹规划，建立和完善</w:t>
      </w:r>
      <w:r>
        <w:rPr>
          <w:rFonts w:hint="eastAsia" w:ascii="宋体" w:hAnsi="宋体" w:cs="宋体"/>
          <w:color w:val="auto"/>
          <w:sz w:val="30"/>
          <w:szCs w:val="30"/>
          <w:highlight w:val="none"/>
          <w:lang w:eastAsia="zh-CN"/>
        </w:rPr>
        <w:t>饲料加工厂</w:t>
      </w:r>
      <w:r>
        <w:rPr>
          <w:rFonts w:hint="eastAsia" w:ascii="宋体" w:hAnsi="宋体" w:eastAsia="宋体" w:cs="宋体"/>
          <w:color w:val="auto"/>
          <w:sz w:val="30"/>
          <w:szCs w:val="30"/>
          <w:highlight w:val="none"/>
        </w:rPr>
        <w:t>体系。 </w:t>
      </w:r>
      <w:bookmarkStart w:id="34" w:name="_Toc20470"/>
    </w:p>
    <w:p>
      <w:pPr>
        <w:spacing w:line="360" w:lineRule="auto"/>
        <w:ind w:firstLine="643" w:firstLineChars="200"/>
        <w:rPr>
          <w:rFonts w:hint="eastAsia" w:ascii="Calibri" w:hAnsi="Calibri" w:eastAsia="宋体" w:cs="Times New Roman"/>
          <w:b/>
          <w:bCs/>
          <w:color w:val="auto"/>
          <w:sz w:val="32"/>
          <w:szCs w:val="32"/>
          <w:highlight w:val="none"/>
          <w:lang w:val="en-US" w:eastAsia="zh-CN"/>
        </w:rPr>
      </w:pPr>
      <w:r>
        <w:rPr>
          <w:rFonts w:hint="eastAsia" w:cs="Times New Roman"/>
          <w:b/>
          <w:bCs/>
          <w:color w:val="auto"/>
          <w:sz w:val="32"/>
          <w:szCs w:val="32"/>
          <w:highlight w:val="none"/>
          <w:lang w:val="en-US" w:eastAsia="zh-CN"/>
        </w:rPr>
        <w:t>四、</w:t>
      </w:r>
      <w:r>
        <w:rPr>
          <w:rFonts w:hint="eastAsia" w:ascii="Calibri" w:hAnsi="Calibri" w:eastAsia="宋体" w:cs="Times New Roman"/>
          <w:b/>
          <w:bCs/>
          <w:color w:val="auto"/>
          <w:sz w:val="32"/>
          <w:szCs w:val="32"/>
          <w:highlight w:val="none"/>
          <w:lang w:val="en-US" w:eastAsia="zh-CN"/>
        </w:rPr>
        <w:t>项目投资概算与资金筹措</w:t>
      </w:r>
      <w:bookmarkEnd w:id="34"/>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35" w:name="_Toc5732"/>
      <w:r>
        <w:rPr>
          <w:rFonts w:hint="eastAsia" w:cs="Times New Roman"/>
          <w:color w:val="auto"/>
          <w:sz w:val="32"/>
          <w:szCs w:val="32"/>
          <w:highlight w:val="none"/>
          <w:lang w:val="en-US" w:eastAsia="zh-CN"/>
        </w:rPr>
        <w:t>1、</w:t>
      </w:r>
      <w:r>
        <w:rPr>
          <w:rFonts w:hint="eastAsia" w:ascii="Calibri" w:hAnsi="Calibri" w:eastAsia="宋体" w:cs="Times New Roman"/>
          <w:color w:val="auto"/>
          <w:sz w:val="32"/>
          <w:szCs w:val="32"/>
          <w:highlight w:val="none"/>
          <w:lang w:val="en-US" w:eastAsia="zh-CN"/>
        </w:rPr>
        <w:t>项目总投资估算为</w:t>
      </w:r>
      <w:bookmarkEnd w:id="35"/>
      <w:r>
        <w:rPr>
          <w:rFonts w:hint="eastAsia" w:ascii="宋体" w:hAnsi="宋体" w:eastAsia="宋体" w:cs="宋体"/>
          <w:color w:val="auto"/>
          <w:sz w:val="32"/>
          <w:szCs w:val="32"/>
          <w:highlight w:val="none"/>
          <w:lang w:val="en-US" w:eastAsia="zh-CN"/>
        </w:rPr>
        <w:t>114.7532</w:t>
      </w:r>
      <w:r>
        <w:rPr>
          <w:rFonts w:hint="eastAsia" w:ascii="宋体" w:hAnsi="宋体" w:cs="宋体"/>
          <w:color w:val="auto"/>
          <w:sz w:val="30"/>
          <w:szCs w:val="30"/>
          <w:highlight w:val="none"/>
          <w:lang w:val="en-US" w:eastAsia="zh-CN"/>
        </w:rPr>
        <w:t>万元</w:t>
      </w:r>
    </w:p>
    <w:p>
      <w:pPr>
        <w:widowControl w:val="0"/>
        <w:jc w:val="center"/>
        <w:outlineLvl w:val="1"/>
        <w:rPr>
          <w:rFonts w:hint="eastAsia" w:ascii="宋体" w:hAnsi="宋体" w:eastAsia="宋体" w:cs="宋体"/>
          <w:b w:val="0"/>
          <w:bCs/>
          <w:i w:val="0"/>
          <w:caps w:val="0"/>
          <w:color w:val="000000"/>
          <w:spacing w:val="0"/>
          <w:w w:val="100"/>
          <w:sz w:val="32"/>
          <w:szCs w:val="32"/>
        </w:rPr>
      </w:pPr>
      <w:bookmarkStart w:id="36" w:name="_Toc2680"/>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lang w:val="en-US" w:eastAsia="zh-CN"/>
        </w:rPr>
        <w:t>资金筹措</w:t>
      </w:r>
      <w:bookmarkEnd w:id="36"/>
      <w:r>
        <w:rPr>
          <w:rFonts w:hint="eastAsia" w:cs="Times New Roman"/>
          <w:color w:val="auto"/>
          <w:sz w:val="32"/>
          <w:szCs w:val="32"/>
          <w:highlight w:val="none"/>
          <w:lang w:val="en-US" w:eastAsia="zh-CN"/>
        </w:rPr>
        <w:t>：其中</w:t>
      </w:r>
      <w:r>
        <w:rPr>
          <w:rFonts w:hint="eastAsia" w:ascii="宋体" w:hAnsi="宋体" w:eastAsia="宋体" w:cs="宋体"/>
          <w:b w:val="0"/>
          <w:bCs/>
          <w:i w:val="0"/>
          <w:caps w:val="0"/>
          <w:color w:val="000000"/>
          <w:spacing w:val="0"/>
          <w:w w:val="100"/>
          <w:sz w:val="32"/>
          <w:szCs w:val="32"/>
        </w:rPr>
        <w:t>申请资金为易地扶贫搬迁融资资</w:t>
      </w:r>
    </w:p>
    <w:p>
      <w:pPr>
        <w:widowControl w:val="0"/>
        <w:jc w:val="both"/>
        <w:outlineLvl w:val="1"/>
        <w:rPr>
          <w:rFonts w:hint="eastAsia" w:ascii="宋体" w:hAnsi="宋体" w:cs="宋体"/>
          <w:color w:val="auto"/>
          <w:sz w:val="32"/>
          <w:szCs w:val="32"/>
          <w:highlight w:val="none"/>
          <w:lang w:val="en-US" w:eastAsia="zh-CN"/>
        </w:rPr>
      </w:pPr>
      <w:r>
        <w:rPr>
          <w:rFonts w:hint="eastAsia" w:ascii="宋体" w:hAnsi="宋体" w:cs="宋体"/>
          <w:color w:val="auto"/>
          <w:sz w:val="32"/>
          <w:szCs w:val="32"/>
          <w:highlight w:val="none"/>
          <w:lang w:val="en-US" w:eastAsia="zh-CN"/>
        </w:rPr>
        <w:t>86.7532万元，扶贫发展资金28万元。</w:t>
      </w:r>
    </w:p>
    <w:p>
      <w:pPr>
        <w:widowControl w:val="0"/>
        <w:jc w:val="center"/>
        <w:outlineLvl w:val="1"/>
        <w:rPr>
          <w:rFonts w:hint="eastAsia" w:ascii="宋体" w:hAnsi="宋体" w:eastAsia="宋体" w:cs="宋体"/>
          <w:b/>
          <w:bCs/>
          <w:color w:val="auto"/>
          <w:kern w:val="1"/>
          <w:sz w:val="32"/>
          <w:szCs w:val="32"/>
          <w:highlight w:val="none"/>
        </w:rPr>
      </w:pPr>
      <w:r>
        <w:rPr>
          <w:rFonts w:hint="eastAsia" w:ascii="宋体" w:hAnsi="宋体" w:eastAsia="宋体" w:cs="宋体"/>
          <w:b/>
          <w:bCs/>
          <w:color w:val="auto"/>
          <w:kern w:val="1"/>
          <w:sz w:val="32"/>
          <w:szCs w:val="32"/>
          <w:highlight w:val="none"/>
        </w:rPr>
        <w:t>工程概算</w:t>
      </w:r>
    </w:p>
    <w:tbl>
      <w:tblPr>
        <w:tblStyle w:val="10"/>
        <w:tblpPr w:leftFromText="180" w:rightFromText="180" w:vertAnchor="text" w:horzAnchor="page" w:tblpX="1530" w:tblpY="56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1506"/>
        <w:gridCol w:w="1547"/>
        <w:gridCol w:w="1785"/>
        <w:gridCol w:w="2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916"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w:t>
            </w:r>
          </w:p>
        </w:tc>
        <w:tc>
          <w:tcPr>
            <w:tcW w:w="1506"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w:t>
            </w:r>
          </w:p>
        </w:tc>
        <w:tc>
          <w:tcPr>
            <w:tcW w:w="1547"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w:t>
            </w:r>
          </w:p>
        </w:tc>
        <w:tc>
          <w:tcPr>
            <w:tcW w:w="1785"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合计（元）</w:t>
            </w:r>
          </w:p>
        </w:tc>
        <w:tc>
          <w:tcPr>
            <w:tcW w:w="2143"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16" w:type="dxa"/>
            <w:noWrap w:val="0"/>
            <w:vAlign w:val="top"/>
          </w:tcPr>
          <w:p>
            <w:pPr>
              <w:ind w:firstLine="420" w:firstLineChars="2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厂房建设</w:t>
            </w:r>
          </w:p>
        </w:tc>
        <w:tc>
          <w:tcPr>
            <w:tcW w:w="1506"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1600/</w:t>
            </w:r>
            <w:r>
              <w:rPr>
                <w:rFonts w:hint="eastAsia" w:ascii="宋体" w:hAnsi="宋体" w:eastAsia="宋体" w:cs="宋体"/>
                <w:color w:val="auto"/>
                <w:sz w:val="21"/>
                <w:szCs w:val="21"/>
                <w:highlight w:val="none"/>
              </w:rPr>
              <w:t>㎡</w:t>
            </w:r>
          </w:p>
        </w:tc>
        <w:tc>
          <w:tcPr>
            <w:tcW w:w="1547" w:type="dxa"/>
            <w:noWrap w:val="0"/>
            <w:vAlign w:val="top"/>
          </w:tcPr>
          <w:p>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320000</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16" w:type="dxa"/>
            <w:noWrap w:val="0"/>
            <w:vAlign w:val="top"/>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库房建设</w:t>
            </w:r>
          </w:p>
        </w:tc>
        <w:tc>
          <w:tcPr>
            <w:tcW w:w="1506"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1600/</w:t>
            </w:r>
            <w:r>
              <w:rPr>
                <w:rFonts w:hint="eastAsia" w:ascii="宋体" w:hAnsi="宋体" w:eastAsia="宋体" w:cs="宋体"/>
                <w:color w:val="auto"/>
                <w:sz w:val="21"/>
                <w:szCs w:val="21"/>
                <w:highlight w:val="none"/>
              </w:rPr>
              <w:t>㎡</w:t>
            </w:r>
          </w:p>
        </w:tc>
        <w:tc>
          <w:tcPr>
            <w:tcW w:w="1547" w:type="dxa"/>
            <w:noWrap w:val="0"/>
            <w:vAlign w:val="top"/>
          </w:tcPr>
          <w:p>
            <w:pPr>
              <w:jc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lang w:val="en-US" w:eastAsia="zh-CN"/>
              </w:rPr>
              <w:t>0</w:t>
            </w:r>
            <w:r>
              <w:rPr>
                <w:rFonts w:hint="eastAsia" w:ascii="宋体" w:hAnsi="宋体" w:eastAsia="宋体" w:cs="宋体"/>
                <w:color w:val="auto"/>
                <w:sz w:val="21"/>
                <w:szCs w:val="21"/>
                <w:highlight w:val="none"/>
              </w:rPr>
              <w:t>㎡</w:t>
            </w: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320000</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6" w:type="dxa"/>
            <w:noWrap w:val="0"/>
            <w:vAlign w:val="top"/>
          </w:tcPr>
          <w:p>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配套设备</w:t>
            </w:r>
          </w:p>
        </w:tc>
        <w:tc>
          <w:tcPr>
            <w:tcW w:w="1506" w:type="dxa"/>
            <w:noWrap w:val="0"/>
            <w:vAlign w:val="top"/>
          </w:tcPr>
          <w:p>
            <w:pPr>
              <w:jc w:val="center"/>
              <w:rPr>
                <w:rFonts w:hint="eastAsia" w:ascii="宋体" w:hAnsi="宋体" w:eastAsia="宋体" w:cs="宋体"/>
                <w:color w:val="auto"/>
                <w:sz w:val="21"/>
                <w:szCs w:val="21"/>
                <w:highlight w:val="none"/>
              </w:rPr>
            </w:pPr>
          </w:p>
        </w:tc>
        <w:tc>
          <w:tcPr>
            <w:tcW w:w="1547" w:type="dxa"/>
            <w:noWrap w:val="0"/>
            <w:vAlign w:val="top"/>
          </w:tcPr>
          <w:p>
            <w:pPr>
              <w:jc w:val="center"/>
              <w:rPr>
                <w:rFonts w:hint="eastAsia" w:ascii="宋体" w:hAnsi="宋体" w:eastAsia="宋体" w:cs="宋体"/>
                <w:color w:val="auto"/>
                <w:sz w:val="21"/>
                <w:szCs w:val="21"/>
                <w:highlight w:val="none"/>
              </w:rPr>
            </w:pP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392778.8</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16" w:type="dxa"/>
            <w:noWrap w:val="0"/>
            <w:vAlign w:val="top"/>
          </w:tcPr>
          <w:p>
            <w:pPr>
              <w:jc w:val="center"/>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其他</w:t>
            </w:r>
            <w:r>
              <w:rPr>
                <w:rFonts w:hint="eastAsia" w:ascii="宋体" w:hAnsi="宋体" w:cs="宋体"/>
                <w:color w:val="auto"/>
                <w:sz w:val="21"/>
                <w:szCs w:val="21"/>
                <w:highlight w:val="none"/>
                <w:lang w:eastAsia="zh-CN"/>
              </w:rPr>
              <w:t>费</w:t>
            </w:r>
          </w:p>
        </w:tc>
        <w:tc>
          <w:tcPr>
            <w:tcW w:w="1506" w:type="dxa"/>
            <w:noWrap w:val="0"/>
            <w:vAlign w:val="top"/>
          </w:tcPr>
          <w:p>
            <w:pPr>
              <w:jc w:val="center"/>
              <w:rPr>
                <w:rFonts w:hint="eastAsia" w:ascii="宋体" w:hAnsi="宋体" w:eastAsia="宋体" w:cs="宋体"/>
                <w:color w:val="auto"/>
                <w:sz w:val="21"/>
                <w:szCs w:val="21"/>
                <w:highlight w:val="none"/>
              </w:rPr>
            </w:pPr>
          </w:p>
        </w:tc>
        <w:tc>
          <w:tcPr>
            <w:tcW w:w="1547" w:type="dxa"/>
            <w:noWrap w:val="0"/>
            <w:vAlign w:val="top"/>
          </w:tcPr>
          <w:p>
            <w:pPr>
              <w:jc w:val="center"/>
              <w:rPr>
                <w:rFonts w:hint="eastAsia" w:ascii="宋体" w:hAnsi="宋体" w:eastAsia="宋体" w:cs="宋体"/>
                <w:color w:val="auto"/>
                <w:sz w:val="21"/>
                <w:szCs w:val="21"/>
                <w:highlight w:val="none"/>
              </w:rPr>
            </w:pPr>
          </w:p>
        </w:tc>
        <w:tc>
          <w:tcPr>
            <w:tcW w:w="1785" w:type="dxa"/>
            <w:noWrap w:val="0"/>
            <w:vAlign w:val="top"/>
          </w:tcPr>
          <w:p>
            <w:pPr>
              <w:jc w:val="center"/>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114753.2</w:t>
            </w:r>
          </w:p>
        </w:tc>
        <w:tc>
          <w:tcPr>
            <w:tcW w:w="2143" w:type="dxa"/>
            <w:noWrap w:val="0"/>
            <w:vAlign w:val="top"/>
          </w:tcPr>
          <w:p>
            <w:pPr>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916" w:type="dxa"/>
            <w:noWrap w:val="0"/>
            <w:vAlign w:val="top"/>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1506" w:type="dxa"/>
            <w:noWrap w:val="0"/>
            <w:vAlign w:val="top"/>
          </w:tcPr>
          <w:p>
            <w:pPr>
              <w:jc w:val="center"/>
              <w:rPr>
                <w:rFonts w:hint="eastAsia" w:ascii="宋体" w:hAnsi="宋体" w:eastAsia="宋体" w:cs="宋体"/>
                <w:color w:val="auto"/>
                <w:sz w:val="21"/>
                <w:szCs w:val="21"/>
                <w:highlight w:val="none"/>
              </w:rPr>
            </w:pPr>
          </w:p>
        </w:tc>
        <w:tc>
          <w:tcPr>
            <w:tcW w:w="1547" w:type="dxa"/>
            <w:noWrap w:val="0"/>
            <w:vAlign w:val="top"/>
          </w:tcPr>
          <w:p>
            <w:pPr>
              <w:jc w:val="center"/>
              <w:rPr>
                <w:rFonts w:hint="eastAsia" w:ascii="宋体" w:hAnsi="宋体" w:eastAsia="宋体" w:cs="宋体"/>
                <w:color w:val="auto"/>
                <w:sz w:val="21"/>
                <w:szCs w:val="21"/>
                <w:highlight w:val="none"/>
              </w:rPr>
            </w:pPr>
          </w:p>
        </w:tc>
        <w:tc>
          <w:tcPr>
            <w:tcW w:w="1785" w:type="dxa"/>
            <w:noWrap w:val="0"/>
            <w:vAlign w:val="top"/>
          </w:tcPr>
          <w:p>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1147532</w:t>
            </w:r>
          </w:p>
        </w:tc>
        <w:tc>
          <w:tcPr>
            <w:tcW w:w="2143" w:type="dxa"/>
            <w:noWrap w:val="0"/>
            <w:vAlign w:val="top"/>
          </w:tcPr>
          <w:p>
            <w:pPr>
              <w:jc w:val="center"/>
              <w:rPr>
                <w:rFonts w:hint="eastAsia" w:ascii="宋体" w:hAnsi="宋体" w:eastAsia="宋体" w:cs="宋体"/>
                <w:color w:val="auto"/>
                <w:sz w:val="21"/>
                <w:szCs w:val="21"/>
                <w:highlight w:val="none"/>
              </w:rPr>
            </w:pPr>
          </w:p>
        </w:tc>
      </w:tr>
    </w:tbl>
    <w:p>
      <w:pPr>
        <w:widowControl w:val="0"/>
        <w:ind w:firstLine="640" w:firstLineChars="200"/>
        <w:outlineLvl w:val="1"/>
        <w:rPr>
          <w:rFonts w:hint="eastAsia" w:ascii="Calibri" w:hAnsi="Calibri" w:eastAsia="宋体" w:cs="Times New Roman"/>
          <w:color w:val="auto"/>
          <w:sz w:val="32"/>
          <w:szCs w:val="32"/>
          <w:highlight w:val="none"/>
        </w:rPr>
      </w:pPr>
      <w:bookmarkStart w:id="37" w:name="_Toc31889"/>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资金使用和管理</w:t>
      </w:r>
      <w:bookmarkEnd w:id="37"/>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宋体" w:hAnsi="宋体" w:cs="宋体"/>
          <w:color w:val="auto"/>
          <w:sz w:val="32"/>
          <w:szCs w:val="32"/>
          <w:highlight w:val="none"/>
          <w:lang w:val="en-US" w:eastAsia="zh-CN"/>
        </w:rPr>
        <w:t>申请资金为易地扶贫搬迁融资资金</w:t>
      </w:r>
      <w:r>
        <w:rPr>
          <w:rFonts w:hint="eastAsia" w:ascii="Calibri" w:hAnsi="Calibri" w:eastAsia="宋体" w:cs="Times New Roman"/>
          <w:color w:val="auto"/>
          <w:sz w:val="32"/>
          <w:szCs w:val="32"/>
          <w:highlight w:val="none"/>
        </w:rPr>
        <w:t>使用和管理应按照《新疆维吾尔自治区</w:t>
      </w:r>
      <w:r>
        <w:rPr>
          <w:rFonts w:hint="eastAsia" w:ascii="宋体" w:hAnsi="宋体" w:cs="宋体"/>
          <w:color w:val="auto"/>
          <w:sz w:val="32"/>
          <w:szCs w:val="32"/>
          <w:highlight w:val="none"/>
          <w:lang w:val="en-US" w:eastAsia="zh-CN"/>
        </w:rPr>
        <w:t>易地扶贫搬迁融资资金</w:t>
      </w:r>
      <w:r>
        <w:rPr>
          <w:rFonts w:hint="eastAsia" w:ascii="Calibri" w:hAnsi="Calibri" w:eastAsia="宋体" w:cs="Times New Roman"/>
          <w:color w:val="auto"/>
          <w:sz w:val="32"/>
          <w:szCs w:val="32"/>
          <w:highlight w:val="none"/>
        </w:rPr>
        <w:t>资金（扶贫发展项目管理办法（暂行的通知》（新财扶〔2017〕32号、《关于进一步加强财政</w:t>
      </w:r>
      <w:r>
        <w:rPr>
          <w:rFonts w:hint="eastAsia" w:ascii="宋体" w:hAnsi="宋体" w:cs="宋体"/>
          <w:color w:val="auto"/>
          <w:sz w:val="32"/>
          <w:szCs w:val="32"/>
          <w:highlight w:val="none"/>
          <w:lang w:val="en-US" w:eastAsia="zh-CN"/>
        </w:rPr>
        <w:t>易地扶贫搬迁融资资金</w:t>
      </w:r>
      <w:r>
        <w:rPr>
          <w:rFonts w:hint="eastAsia" w:ascii="Calibri" w:hAnsi="Calibri" w:eastAsia="宋体" w:cs="Times New Roman"/>
          <w:color w:val="auto"/>
          <w:sz w:val="32"/>
          <w:szCs w:val="32"/>
          <w:highlight w:val="none"/>
        </w:rPr>
        <w:t>监督管理的意见》（新财脱贫组〔2019〕2号等相关文件要求。项目实施单位依据项目计划和实施进度,提出支付申请并提供相关真实、合规的证明材料，制定资金使用计划，经审核后按照国库集中支付管理制度的规定和程序及时支付资金。从国库直接支付到扶贫项目承担的企业、商户或建档立卡个人。严格执行专款专用，杜绝挤占、挪用项目资金，严禁虚列支出、以拨代支虚增项目进度。项目资金支付后,在审计或检查中发现资金使用存在违法违规问题的，应及时追回、收回。对资金使用严格监管，防止资金使用不精准、虚报冒领。</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为加快资金支出进度，扶贫项目可实行预付款制，预付资金总额合计原则上不超过应付该项目资金总额的50%，其中：基础建设类项目预付资金原则上不超过合同金额的30%。</w:t>
      </w:r>
    </w:p>
    <w:p>
      <w:pPr>
        <w:widowControl w:val="0"/>
        <w:ind w:firstLine="643" w:firstLineChars="200"/>
        <w:outlineLvl w:val="0"/>
        <w:rPr>
          <w:rFonts w:hint="eastAsia" w:ascii="Calibri" w:hAnsi="Calibri" w:eastAsia="宋体" w:cs="Times New Roman"/>
          <w:b/>
          <w:bCs/>
          <w:color w:val="auto"/>
          <w:sz w:val="32"/>
          <w:szCs w:val="32"/>
          <w:highlight w:val="none"/>
          <w:lang w:val="en-US" w:eastAsia="zh-CN"/>
        </w:rPr>
      </w:pPr>
      <w:bookmarkStart w:id="38" w:name="_Toc3574"/>
      <w:r>
        <w:rPr>
          <w:rFonts w:hint="eastAsia" w:cs="Times New Roman"/>
          <w:b/>
          <w:bCs/>
          <w:color w:val="auto"/>
          <w:sz w:val="32"/>
          <w:szCs w:val="32"/>
          <w:highlight w:val="none"/>
          <w:lang w:val="en-US" w:eastAsia="zh-CN"/>
        </w:rPr>
        <w:t>五、</w:t>
      </w:r>
      <w:r>
        <w:rPr>
          <w:rFonts w:hint="eastAsia" w:ascii="Calibri" w:hAnsi="Calibri" w:eastAsia="宋体" w:cs="Times New Roman"/>
          <w:b/>
          <w:bCs/>
          <w:color w:val="auto"/>
          <w:sz w:val="32"/>
          <w:szCs w:val="32"/>
          <w:highlight w:val="none"/>
          <w:lang w:val="en-US" w:eastAsia="zh-CN"/>
        </w:rPr>
        <w:t>项目实施保障措施</w:t>
      </w:r>
      <w:bookmarkEnd w:id="38"/>
    </w:p>
    <w:p>
      <w:pPr>
        <w:widowControl w:val="0"/>
        <w:ind w:firstLine="640" w:firstLineChars="200"/>
        <w:outlineLvl w:val="1"/>
        <w:rPr>
          <w:rFonts w:hint="default" w:ascii="Calibri" w:hAnsi="Calibri" w:eastAsia="宋体" w:cs="Times New Roman"/>
          <w:color w:val="auto"/>
          <w:sz w:val="32"/>
          <w:szCs w:val="32"/>
          <w:highlight w:val="none"/>
          <w:lang w:val="en-US" w:eastAsia="zh-CN"/>
        </w:rPr>
      </w:pPr>
      <w:bookmarkStart w:id="39" w:name="_Toc27300"/>
      <w:r>
        <w:rPr>
          <w:rFonts w:hint="eastAsia" w:ascii="Calibri" w:hAnsi="Calibri" w:eastAsia="宋体" w:cs="Times New Roman"/>
          <w:color w:val="auto"/>
          <w:sz w:val="32"/>
          <w:szCs w:val="32"/>
          <w:highlight w:val="none"/>
          <w:lang w:val="en-US" w:eastAsia="zh-CN"/>
        </w:rPr>
        <w:t>1、组织领导机构</w:t>
      </w:r>
      <w:bookmarkEnd w:id="39"/>
    </w:p>
    <w:p>
      <w:pPr>
        <w:widowControl w:val="0"/>
        <w:ind w:firstLine="640" w:firstLineChars="200"/>
        <w:rPr>
          <w:rFonts w:hint="eastAsia"/>
          <w:highlight w:val="none"/>
        </w:rPr>
      </w:pPr>
      <w:bookmarkStart w:id="40" w:name="_Toc2615"/>
      <w:r>
        <w:rPr>
          <w:rFonts w:hint="eastAsia" w:cs="Times New Roman"/>
          <w:sz w:val="32"/>
          <w:szCs w:val="32"/>
          <w:highlight w:val="none"/>
          <w:lang w:val="en-US" w:eastAsia="zh-CN"/>
        </w:rPr>
        <w:t>由县扶贫开发领导小组统筹规划，县扶贫办主管，乡政府负责实施项目，项目所在村队派专人现场监督，</w:t>
      </w:r>
      <w:r>
        <w:rPr>
          <w:rFonts w:hint="eastAsia" w:ascii="Calibri" w:hAnsi="Calibri" w:eastAsia="宋体" w:cs="Times New Roman"/>
          <w:sz w:val="32"/>
          <w:szCs w:val="32"/>
          <w:highlight w:val="none"/>
        </w:rPr>
        <w:t>明确职责分工，统一协调解决项目实施过程中出现的各类问题，确保项目的顺利实施。</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技术保障措施</w:t>
      </w:r>
      <w:bookmarkEnd w:id="40"/>
    </w:p>
    <w:p>
      <w:pPr>
        <w:bidi w:val="0"/>
        <w:ind w:firstLine="640" w:firstLineChars="200"/>
        <w:rPr>
          <w:rFonts w:hint="eastAsia"/>
          <w:b w:val="0"/>
          <w:bCs w:val="0"/>
          <w:sz w:val="32"/>
          <w:szCs w:val="32"/>
          <w:highlight w:val="none"/>
          <w:lang w:val="en-US" w:eastAsia="zh-CN"/>
        </w:rPr>
      </w:pPr>
      <w:bookmarkStart w:id="41" w:name="_Toc331659927"/>
      <w:bookmarkStart w:id="42" w:name="_Toc18591"/>
      <w:bookmarkStart w:id="43" w:name="_Toc467336124"/>
      <w:bookmarkStart w:id="44" w:name="_Toc390159603"/>
      <w:bookmarkStart w:id="45" w:name="_Toc334769937"/>
      <w:bookmarkStart w:id="46" w:name="_Toc357115790"/>
      <w:bookmarkStart w:id="47" w:name="_Toc344592159"/>
      <w:bookmarkStart w:id="48" w:name="_Toc390159395"/>
      <w:bookmarkStart w:id="49" w:name="_Toc380951447"/>
      <w:bookmarkStart w:id="50" w:name="_Toc4634"/>
      <w:r>
        <w:rPr>
          <w:rFonts w:hint="eastAsia"/>
          <w:b w:val="0"/>
          <w:bCs w:val="0"/>
          <w:sz w:val="32"/>
          <w:szCs w:val="32"/>
          <w:highlight w:val="none"/>
          <w:lang w:val="en-US" w:eastAsia="zh-CN"/>
        </w:rPr>
        <w:t>（1）环境保护</w:t>
      </w:r>
      <w:bookmarkEnd w:id="41"/>
      <w:bookmarkEnd w:id="42"/>
      <w:bookmarkEnd w:id="43"/>
      <w:bookmarkEnd w:id="44"/>
      <w:bookmarkEnd w:id="45"/>
      <w:bookmarkEnd w:id="46"/>
      <w:bookmarkEnd w:id="47"/>
      <w:bookmarkEnd w:id="48"/>
      <w:bookmarkEnd w:id="49"/>
    </w:p>
    <w:p>
      <w:pPr>
        <w:ind w:firstLine="627" w:firstLineChars="196"/>
        <w:jc w:val="left"/>
        <w:rPr>
          <w:rFonts w:hint="eastAsia" w:ascii="宋体" w:hAnsi="宋体" w:eastAsia="宋体" w:cs="宋体"/>
          <w:sz w:val="32"/>
          <w:szCs w:val="32"/>
          <w:highlight w:val="none"/>
        </w:rPr>
      </w:pPr>
      <w:r>
        <w:rPr>
          <w:rFonts w:hint="eastAsia" w:ascii="宋体" w:hAnsi="宋体" w:eastAsia="宋体" w:cs="宋体"/>
          <w:sz w:val="32"/>
          <w:szCs w:val="32"/>
          <w:highlight w:val="none"/>
        </w:rPr>
        <w:t>根据《中华人民共和国环境保护法》等有关法规，在项目实施过程中对排出的污染物应采取必要的措施，使之达到国家规定的标准。本项目环境保护工作接受裕民县环境保护部门的监督，采用的环境保护法规及标准为</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在施工期及建成后，加强管理，严格按照有关标准执行环保措施，不会产生太大环境影响。</w:t>
      </w:r>
    </w:p>
    <w:p>
      <w:pPr>
        <w:bidi w:val="0"/>
        <w:ind w:firstLine="640" w:firstLineChars="200"/>
        <w:rPr>
          <w:rFonts w:hint="eastAsia"/>
          <w:b w:val="0"/>
          <w:bCs w:val="0"/>
          <w:sz w:val="32"/>
          <w:szCs w:val="32"/>
          <w:highlight w:val="none"/>
        </w:rPr>
      </w:pPr>
      <w:bookmarkStart w:id="51" w:name="_Toc390159396"/>
      <w:bookmarkStart w:id="52" w:name="_Toc390159604"/>
      <w:bookmarkStart w:id="53" w:name="_Toc353117214"/>
      <w:bookmarkStart w:id="54" w:name="_Toc10060"/>
      <w:bookmarkStart w:id="55" w:name="_Toc467336125"/>
      <w:bookmarkStart w:id="56" w:name="_Toc326918799"/>
      <w:bookmarkStart w:id="57" w:name="_Toc346638751"/>
      <w:r>
        <w:rPr>
          <w:rFonts w:hint="eastAsia"/>
          <w:b w:val="0"/>
          <w:bCs w:val="0"/>
          <w:sz w:val="32"/>
          <w:szCs w:val="32"/>
          <w:highlight w:val="none"/>
          <w:lang w:val="en-US" w:eastAsia="zh-CN"/>
        </w:rPr>
        <w:t>（2）</w:t>
      </w:r>
      <w:r>
        <w:rPr>
          <w:rFonts w:hint="eastAsia"/>
          <w:b w:val="0"/>
          <w:bCs w:val="0"/>
          <w:sz w:val="32"/>
          <w:szCs w:val="32"/>
          <w:highlight w:val="none"/>
        </w:rPr>
        <w:t>劳动安全</w:t>
      </w:r>
      <w:bookmarkEnd w:id="51"/>
      <w:bookmarkEnd w:id="52"/>
      <w:bookmarkEnd w:id="53"/>
      <w:bookmarkEnd w:id="54"/>
      <w:bookmarkEnd w:id="55"/>
      <w:bookmarkEnd w:id="56"/>
      <w:bookmarkEnd w:id="57"/>
    </w:p>
    <w:p>
      <w:pPr>
        <w:ind w:firstLine="627" w:firstLineChars="196"/>
        <w:jc w:val="left"/>
        <w:rPr>
          <w:rFonts w:hint="eastAsia" w:ascii="Calibri" w:hAnsi="Calibri" w:eastAsia="宋体" w:cs="Times New Roman"/>
          <w:sz w:val="32"/>
          <w:szCs w:val="32"/>
          <w:highlight w:val="none"/>
        </w:rPr>
      </w:pPr>
      <w:r>
        <w:rPr>
          <w:rFonts w:hint="eastAsia" w:ascii="宋体" w:hAnsi="宋体" w:eastAsia="宋体" w:cs="宋体"/>
          <w:sz w:val="32"/>
          <w:szCs w:val="32"/>
          <w:highlight w:val="none"/>
          <w:lang w:eastAsia="zh-CN"/>
        </w:rPr>
        <w:t>本项目</w:t>
      </w:r>
      <w:r>
        <w:rPr>
          <w:rFonts w:hint="eastAsia" w:ascii="宋体" w:hAnsi="宋体" w:eastAsia="宋体" w:cs="宋体"/>
          <w:sz w:val="32"/>
          <w:szCs w:val="32"/>
          <w:highlight w:val="none"/>
        </w:rPr>
        <w:t>依据《中华人民共和国建筑法》</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《中华人民共和国劳动保护法》</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《中华人民共和国安全生产法》</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《建筑安全生产监督管理规定》</w:t>
      </w:r>
      <w:r>
        <w:rPr>
          <w:rFonts w:hint="eastAsia" w:ascii="宋体" w:hAnsi="宋体" w:eastAsia="宋体" w:cs="宋体"/>
          <w:sz w:val="32"/>
          <w:szCs w:val="32"/>
          <w:highlight w:val="none"/>
          <w:lang w:eastAsia="zh-CN"/>
        </w:rPr>
        <w:t>、</w:t>
      </w:r>
      <w:r>
        <w:rPr>
          <w:rFonts w:hint="eastAsia" w:ascii="宋体" w:hAnsi="宋体" w:eastAsia="宋体" w:cs="宋体"/>
          <w:sz w:val="32"/>
          <w:szCs w:val="32"/>
          <w:highlight w:val="none"/>
        </w:rPr>
        <w:t>《建设项目(工程)劳动安全卫生监察规定》</w:t>
      </w:r>
      <w:r>
        <w:rPr>
          <w:rFonts w:hint="eastAsia" w:ascii="宋体" w:hAnsi="宋体" w:eastAsia="宋体" w:cs="宋体"/>
          <w:sz w:val="32"/>
          <w:szCs w:val="32"/>
          <w:highlight w:val="none"/>
          <w:lang w:eastAsia="zh-CN"/>
        </w:rPr>
        <w:t>实施安全防范，</w:t>
      </w:r>
      <w:r>
        <w:rPr>
          <w:rFonts w:hint="eastAsia" w:ascii="宋体" w:hAnsi="宋体" w:eastAsia="宋体" w:cs="宋体"/>
          <w:sz w:val="32"/>
          <w:szCs w:val="32"/>
          <w:highlight w:val="none"/>
        </w:rPr>
        <w:t>使之达到国家规定的标准。有关设备设施需经当地劳动安全部门验收合格后才可投入使用。运营过程中，相关人员需严格按照操作规程操作各种器械。并对有关人员定期进行安全生产培训、教育，牢固树立“安全第一”的信念。</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项目管理、监督检查制度</w:t>
      </w:r>
      <w:bookmarkEnd w:id="50"/>
    </w:p>
    <w:p>
      <w:pPr>
        <w:widowControl w:val="0"/>
        <w:ind w:firstLine="640" w:firstLineChars="200"/>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根据《新疆维吾尔自治区财政</w:t>
      </w:r>
      <w:r>
        <w:rPr>
          <w:rFonts w:hint="eastAsia" w:ascii="宋体" w:hAnsi="宋体" w:cs="宋体"/>
          <w:color w:val="auto"/>
          <w:sz w:val="32"/>
          <w:szCs w:val="32"/>
          <w:highlight w:val="none"/>
          <w:lang w:val="en-US" w:eastAsia="zh-CN"/>
        </w:rPr>
        <w:t>易地扶贫搬迁融资资金</w:t>
      </w:r>
      <w:r>
        <w:rPr>
          <w:rFonts w:hint="eastAsia" w:ascii="Calibri" w:hAnsi="Calibri" w:eastAsia="宋体" w:cs="Times New Roman"/>
          <w:color w:val="auto"/>
          <w:sz w:val="32"/>
          <w:szCs w:val="32"/>
          <w:highlight w:val="none"/>
        </w:rPr>
        <w:t>（扶贫发展项目管理办法（暂行的通知》（新扶贫领字〔2017〕39号第二章第九条规定：县级扶贫开发领导小组是扶贫资金和项目管理的第一责任主体，组长是第一责任人，全面负责扶贫资金和项目管理、绩效评价、监督检查等各项工作。为保质保量按时完成该项目，需实行目标管理责任制，明确领导小组各成员的职责，全面推行项目建设责任制、项目法人责任制，建立健全扶贫资产公开公示、定期巡查、绩效考核、结果反馈等检查机制，对项目经营运行、收益分配、后期管护等环节进行全程监督，保障扶贫资产安全有效。</w:t>
      </w:r>
      <w:r>
        <w:rPr>
          <w:rFonts w:hint="eastAsia" w:ascii="Calibri" w:hAnsi="Calibri" w:eastAsia="宋体" w:cs="Times New Roman"/>
          <w:color w:val="auto"/>
          <w:sz w:val="32"/>
          <w:szCs w:val="32"/>
          <w:highlight w:val="none"/>
          <w:lang w:eastAsia="zh-CN"/>
        </w:rPr>
        <w:t>）</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 xml:space="preserve"> </w:t>
      </w:r>
      <w:bookmarkStart w:id="58" w:name="_Toc28741"/>
      <w:r>
        <w:rPr>
          <w:rFonts w:hint="eastAsia" w:ascii="Calibri" w:hAnsi="Calibri" w:eastAsia="宋体" w:cs="Times New Roman"/>
          <w:color w:val="auto"/>
          <w:sz w:val="32"/>
          <w:szCs w:val="32"/>
          <w:highlight w:val="none"/>
          <w:lang w:val="en-US" w:eastAsia="zh-CN"/>
        </w:rPr>
        <w:t>4</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rPr>
        <w:t>验收管理</w:t>
      </w:r>
      <w:bookmarkEnd w:id="58"/>
    </w:p>
    <w:p>
      <w:pPr>
        <w:widowControl w:val="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rPr>
        <w:t xml:space="preserve"> </w:t>
      </w:r>
      <w:r>
        <w:rPr>
          <w:rFonts w:hint="eastAsia" w:cs="Times New Roman"/>
          <w:color w:val="auto"/>
          <w:sz w:val="32"/>
          <w:szCs w:val="32"/>
          <w:highlight w:val="none"/>
          <w:lang w:val="en-US" w:eastAsia="zh-CN"/>
        </w:rPr>
        <w:t xml:space="preserve">  </w:t>
      </w:r>
      <w:r>
        <w:rPr>
          <w:rFonts w:hint="eastAsia" w:ascii="Calibri" w:hAnsi="Calibri" w:eastAsia="宋体" w:cs="Times New Roman"/>
          <w:color w:val="auto"/>
          <w:sz w:val="32"/>
          <w:szCs w:val="32"/>
          <w:highlight w:val="none"/>
        </w:rPr>
        <w:t>根据《新疆维吾尔自治区财政专项扶贫资金（扶贫发展项目管理办法（暂行的通知》（新扶贫领字〔2017〕39号等相关文件要求，坚持项目竣工验收制度，遵照属地管理、“谁审批、谁验收”的原则。</w:t>
      </w:r>
      <w:r>
        <w:rPr>
          <w:rFonts w:hint="eastAsia" w:ascii="Calibri" w:hAnsi="Calibri" w:eastAsia="宋体" w:cs="Times New Roman"/>
          <w:color w:val="auto"/>
          <w:sz w:val="32"/>
          <w:szCs w:val="32"/>
          <w:highlight w:val="none"/>
          <w:lang w:val="en-US" w:eastAsia="zh-CN"/>
        </w:rPr>
        <w:t>按照施工、监理单位上报验收申请，</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政府组织自查验收，验收合格后</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政府申请县级单位进行项目最终竣工验收。验收单由</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政府入档保存。</w:t>
      </w:r>
    </w:p>
    <w:p>
      <w:pPr>
        <w:widowControl w:val="0"/>
        <w:ind w:firstLine="640" w:firstLineChars="200"/>
        <w:outlineLvl w:val="1"/>
        <w:rPr>
          <w:rFonts w:hint="eastAsia" w:ascii="Calibri" w:hAnsi="Calibri" w:eastAsia="宋体" w:cs="Times New Roman"/>
          <w:color w:val="auto"/>
          <w:sz w:val="32"/>
          <w:szCs w:val="32"/>
          <w:highlight w:val="none"/>
        </w:rPr>
      </w:pPr>
      <w:bookmarkStart w:id="59" w:name="_Toc14137"/>
      <w:r>
        <w:rPr>
          <w:rFonts w:hint="eastAsia" w:ascii="Calibri" w:hAnsi="Calibri" w:eastAsia="宋体" w:cs="Times New Roman"/>
          <w:color w:val="auto"/>
          <w:sz w:val="32"/>
          <w:szCs w:val="32"/>
          <w:highlight w:val="none"/>
          <w:lang w:val="en-US" w:eastAsia="zh-CN"/>
        </w:rPr>
        <w:t>5、</w:t>
      </w:r>
      <w:r>
        <w:rPr>
          <w:rFonts w:hint="eastAsia" w:ascii="Calibri" w:hAnsi="Calibri" w:eastAsia="宋体" w:cs="Times New Roman"/>
          <w:color w:val="auto"/>
          <w:sz w:val="32"/>
          <w:szCs w:val="32"/>
          <w:highlight w:val="none"/>
        </w:rPr>
        <w:t>运营模式和运营管理</w:t>
      </w:r>
      <w:bookmarkEnd w:id="59"/>
    </w:p>
    <w:p>
      <w:pPr>
        <w:widowControl w:val="0"/>
        <w:ind w:firstLine="640" w:firstLineChars="200"/>
        <w:rPr>
          <w:rFonts w:hint="default" w:ascii="Calibri" w:hAnsi="Calibri" w:eastAsia="宋体" w:cs="Times New Roman"/>
          <w:sz w:val="32"/>
          <w:szCs w:val="32"/>
          <w:highlight w:val="none"/>
          <w:lang w:val="en-US"/>
        </w:rPr>
      </w:pPr>
      <w:bookmarkStart w:id="60" w:name="_Toc13618"/>
      <w:r>
        <w:rPr>
          <w:rFonts w:hint="eastAsia" w:cs="Times New Roman"/>
          <w:sz w:val="32"/>
          <w:szCs w:val="32"/>
          <w:highlight w:val="none"/>
          <w:lang w:val="en-US" w:eastAsia="zh-CN"/>
        </w:rPr>
        <w:t>该项目为产业</w:t>
      </w:r>
      <w:r>
        <w:rPr>
          <w:rFonts w:hint="eastAsia" w:ascii="Calibri" w:hAnsi="Calibri" w:eastAsia="宋体" w:cs="Times New Roman"/>
          <w:sz w:val="32"/>
          <w:szCs w:val="32"/>
          <w:highlight w:val="none"/>
        </w:rPr>
        <w:t>类</w:t>
      </w:r>
      <w:r>
        <w:rPr>
          <w:rFonts w:hint="eastAsia" w:cs="Times New Roman"/>
          <w:sz w:val="32"/>
          <w:szCs w:val="32"/>
          <w:highlight w:val="none"/>
          <w:lang w:val="en-US" w:eastAsia="zh-CN"/>
        </w:rPr>
        <w:t>项目，验收合格后由乡政府移交给所在村队进行后期管理维护，在项目质保期内，项目出现需维护部分由施工单位进行维护，项目质保期失效后，由村委会使用村集体资金进行维护。项目移交后，由村委会进行招标或发包，通过“四议两公开”制定产业项目效益分配方案，由乡政府负责监督。</w:t>
      </w:r>
    </w:p>
    <w:p>
      <w:pPr>
        <w:widowControl w:val="0"/>
        <w:numPr>
          <w:ilvl w:val="0"/>
          <w:numId w:val="0"/>
        </w:numPr>
        <w:ind w:firstLine="640" w:firstLineChars="200"/>
        <w:outlineLvl w:val="1"/>
        <w:rPr>
          <w:rFonts w:hint="eastAsia" w:ascii="Calibri" w:hAnsi="Calibri" w:eastAsia="宋体" w:cs="Times New Roman"/>
          <w:color w:val="auto"/>
          <w:sz w:val="32"/>
          <w:szCs w:val="32"/>
          <w:highlight w:val="none"/>
        </w:rPr>
      </w:pPr>
      <w:r>
        <w:rPr>
          <w:rFonts w:hint="eastAsia" w:cs="Times New Roman"/>
          <w:color w:val="auto"/>
          <w:sz w:val="32"/>
          <w:szCs w:val="32"/>
          <w:highlight w:val="none"/>
          <w:lang w:val="en-US" w:eastAsia="zh-CN"/>
        </w:rPr>
        <w:t>6、</w:t>
      </w:r>
      <w:r>
        <w:rPr>
          <w:rFonts w:hint="eastAsia" w:ascii="Calibri" w:hAnsi="Calibri" w:eastAsia="宋体" w:cs="Times New Roman"/>
          <w:color w:val="auto"/>
          <w:sz w:val="32"/>
          <w:szCs w:val="32"/>
          <w:highlight w:val="none"/>
        </w:rPr>
        <w:t>带贫减贫益贫机制</w:t>
      </w:r>
      <w:bookmarkEnd w:id="60"/>
    </w:p>
    <w:p>
      <w:pPr>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实施该项目将大大改善</w:t>
      </w:r>
      <w:r>
        <w:rPr>
          <w:rFonts w:hint="eastAsia" w:cs="Times New Roman"/>
          <w:color w:val="auto"/>
          <w:sz w:val="32"/>
          <w:szCs w:val="32"/>
          <w:highlight w:val="none"/>
          <w:lang w:eastAsia="zh-CN"/>
        </w:rPr>
        <w:t>裕民县阿勒腾也木勒乡江阿布拉克村养殖经济</w:t>
      </w:r>
      <w:r>
        <w:rPr>
          <w:rFonts w:hint="eastAsia" w:ascii="Calibri" w:hAnsi="Calibri" w:eastAsia="宋体" w:cs="Times New Roman"/>
          <w:color w:val="auto"/>
          <w:sz w:val="32"/>
          <w:szCs w:val="32"/>
          <w:highlight w:val="none"/>
        </w:rPr>
        <w:t>状况,有力地促进了社会主义新农村建设，为农民群众</w:t>
      </w:r>
      <w:r>
        <w:rPr>
          <w:rFonts w:hint="eastAsia" w:cs="Times New Roman"/>
          <w:color w:val="auto"/>
          <w:sz w:val="32"/>
          <w:szCs w:val="32"/>
          <w:highlight w:val="none"/>
          <w:lang w:eastAsia="zh-CN"/>
        </w:rPr>
        <w:t>发展养殖家禽积极性</w:t>
      </w:r>
      <w:r>
        <w:rPr>
          <w:rFonts w:hint="eastAsia" w:ascii="Calibri" w:hAnsi="Calibri" w:eastAsia="宋体" w:cs="Times New Roman"/>
          <w:color w:val="auto"/>
          <w:sz w:val="32"/>
          <w:szCs w:val="32"/>
          <w:highlight w:val="none"/>
        </w:rPr>
        <w:t>，有效地解决村民“</w:t>
      </w:r>
      <w:r>
        <w:rPr>
          <w:rFonts w:hint="eastAsia" w:cs="Times New Roman"/>
          <w:color w:val="auto"/>
          <w:sz w:val="32"/>
          <w:szCs w:val="32"/>
          <w:highlight w:val="none"/>
          <w:lang w:eastAsia="zh-CN"/>
        </w:rPr>
        <w:t>挣钱难</w:t>
      </w:r>
      <w:r>
        <w:rPr>
          <w:rFonts w:hint="eastAsia" w:ascii="Calibri" w:hAnsi="Calibri" w:eastAsia="宋体" w:cs="Times New Roman"/>
          <w:color w:val="auto"/>
          <w:sz w:val="32"/>
          <w:szCs w:val="32"/>
          <w:highlight w:val="none"/>
        </w:rPr>
        <w:t>”问题,有力促进地方经济的发展,也为实现致富梦想,提供了有力支持。</w:t>
      </w:r>
    </w:p>
    <w:p>
      <w:pPr>
        <w:pStyle w:val="2"/>
        <w:pageBreakBefore w:val="0"/>
        <w:numPr>
          <w:ilvl w:val="0"/>
          <w:numId w:val="0"/>
        </w:numPr>
        <w:kinsoku/>
        <w:wordWrap/>
        <w:overflowPunct/>
        <w:topLinePunct w:val="0"/>
        <w:autoSpaceDE/>
        <w:autoSpaceDN/>
        <w:bidi w:val="0"/>
        <w:adjustRightInd/>
        <w:snapToGrid/>
        <w:spacing w:before="0" w:after="0"/>
        <w:ind w:firstLine="640" w:firstLineChars="200"/>
        <w:textAlignment w:val="auto"/>
        <w:rPr>
          <w:rFonts w:hint="eastAsia" w:ascii="宋体" w:hAnsi="宋体" w:eastAsia="宋体" w:cs="宋体"/>
          <w:b w:val="0"/>
          <w:bCs w:val="0"/>
          <w:i w:val="0"/>
          <w:caps w:val="0"/>
          <w:color w:val="000000"/>
          <w:spacing w:val="0"/>
          <w:w w:val="100"/>
          <w:sz w:val="32"/>
          <w:szCs w:val="32"/>
          <w:lang w:val="en-US" w:eastAsia="zh-CN"/>
        </w:rPr>
      </w:pPr>
      <w:r>
        <w:rPr>
          <w:rFonts w:hint="eastAsia" w:ascii="宋体" w:hAnsi="宋体" w:eastAsia="宋体" w:cs="宋体"/>
          <w:b w:val="0"/>
          <w:bCs w:val="0"/>
          <w:i w:val="0"/>
          <w:caps w:val="0"/>
          <w:color w:val="000000"/>
          <w:spacing w:val="0"/>
          <w:w w:val="100"/>
          <w:sz w:val="32"/>
          <w:szCs w:val="32"/>
          <w:lang w:val="en-US" w:eastAsia="zh-CN"/>
        </w:rPr>
        <w:t>7</w:t>
      </w:r>
      <w:r>
        <w:rPr>
          <w:rFonts w:hint="eastAsia" w:ascii="宋体" w:hAnsi="宋体" w:cs="宋体"/>
          <w:b w:val="0"/>
          <w:bCs w:val="0"/>
          <w:i w:val="0"/>
          <w:caps w:val="0"/>
          <w:color w:val="000000"/>
          <w:spacing w:val="0"/>
          <w:w w:val="100"/>
          <w:sz w:val="32"/>
          <w:szCs w:val="32"/>
          <w:lang w:val="en-US" w:eastAsia="zh-CN"/>
        </w:rPr>
        <w:t>、</w:t>
      </w:r>
      <w:r>
        <w:rPr>
          <w:rFonts w:hint="eastAsia" w:ascii="宋体" w:hAnsi="宋体" w:eastAsia="宋体" w:cs="宋体"/>
          <w:b w:val="0"/>
          <w:bCs w:val="0"/>
          <w:i w:val="0"/>
          <w:caps w:val="0"/>
          <w:color w:val="000000"/>
          <w:spacing w:val="0"/>
          <w:w w:val="100"/>
          <w:sz w:val="32"/>
          <w:szCs w:val="32"/>
          <w:lang w:val="en-US" w:eastAsia="zh-CN"/>
        </w:rPr>
        <w:t>产权归属及完工后管理</w:t>
      </w:r>
    </w:p>
    <w:p>
      <w:pPr>
        <w:pStyle w:val="2"/>
        <w:pageBreakBefore w:val="0"/>
        <w:numPr>
          <w:ilvl w:val="0"/>
          <w:numId w:val="0"/>
        </w:numPr>
        <w:kinsoku/>
        <w:wordWrap/>
        <w:overflowPunct/>
        <w:topLinePunct w:val="0"/>
        <w:autoSpaceDE/>
        <w:autoSpaceDN/>
        <w:bidi w:val="0"/>
        <w:adjustRightInd/>
        <w:snapToGrid/>
        <w:spacing w:before="0" w:after="0"/>
        <w:ind w:firstLine="640" w:firstLineChars="200"/>
        <w:textAlignment w:val="auto"/>
        <w:rPr>
          <w:rFonts w:hint="eastAsia" w:ascii="宋体" w:hAnsi="宋体" w:eastAsia="宋体" w:cs="宋体"/>
          <w:b w:val="0"/>
          <w:bCs/>
          <w:i w:val="0"/>
          <w:caps w:val="0"/>
          <w:color w:val="000000"/>
          <w:spacing w:val="0"/>
          <w:w w:val="100"/>
          <w:sz w:val="32"/>
          <w:szCs w:val="32"/>
        </w:rPr>
      </w:pPr>
      <w:r>
        <w:rPr>
          <w:rFonts w:hint="eastAsia" w:ascii="宋体" w:hAnsi="宋体" w:eastAsia="宋体" w:cs="宋体"/>
          <w:b w:val="0"/>
          <w:bCs w:val="0"/>
          <w:i w:val="0"/>
          <w:caps w:val="0"/>
          <w:color w:val="000000"/>
          <w:spacing w:val="0"/>
          <w:w w:val="100"/>
          <w:sz w:val="32"/>
          <w:szCs w:val="32"/>
          <w:lang w:val="en-US" w:eastAsia="zh-CN"/>
        </w:rPr>
        <w:t>产权由</w:t>
      </w:r>
      <w:r>
        <w:rPr>
          <w:rFonts w:hint="eastAsia" w:ascii="宋体" w:hAnsi="宋体" w:eastAsia="宋体" w:cs="宋体"/>
          <w:b w:val="0"/>
          <w:bCs w:val="0"/>
          <w:i w:val="0"/>
          <w:caps w:val="0"/>
          <w:color w:val="000000"/>
          <w:spacing w:val="0"/>
          <w:w w:val="100"/>
          <w:sz w:val="32"/>
          <w:szCs w:val="32"/>
        </w:rPr>
        <w:t>阿勒腾也木勒乡江阿布拉克村</w:t>
      </w:r>
      <w:r>
        <w:rPr>
          <w:rFonts w:hint="eastAsia" w:ascii="宋体" w:hAnsi="宋体" w:eastAsia="宋体" w:cs="宋体"/>
          <w:b w:val="0"/>
          <w:bCs w:val="0"/>
          <w:i w:val="0"/>
          <w:caps w:val="0"/>
          <w:color w:val="000000"/>
          <w:spacing w:val="0"/>
          <w:w w:val="100"/>
          <w:sz w:val="32"/>
          <w:szCs w:val="32"/>
          <w:lang w:val="en-US" w:eastAsia="zh-CN"/>
        </w:rPr>
        <w:t>归属，</w:t>
      </w:r>
      <w:r>
        <w:rPr>
          <w:rFonts w:hint="eastAsia" w:ascii="宋体" w:hAnsi="宋体" w:eastAsia="宋体" w:cs="宋体"/>
          <w:b w:val="0"/>
          <w:bCs w:val="0"/>
          <w:i w:val="0"/>
          <w:caps w:val="0"/>
          <w:color w:val="000000"/>
          <w:spacing w:val="0"/>
          <w:w w:val="100"/>
          <w:sz w:val="32"/>
          <w:szCs w:val="32"/>
        </w:rPr>
        <w:t>饲料加工厂</w:t>
      </w:r>
      <w:r>
        <w:rPr>
          <w:rFonts w:hint="eastAsia" w:ascii="宋体" w:hAnsi="宋体" w:eastAsia="宋体" w:cs="宋体"/>
          <w:b w:val="0"/>
          <w:bCs w:val="0"/>
          <w:i w:val="0"/>
          <w:caps w:val="0"/>
          <w:color w:val="000000"/>
          <w:spacing w:val="0"/>
          <w:w w:val="100"/>
          <w:sz w:val="32"/>
          <w:szCs w:val="32"/>
          <w:lang w:eastAsia="zh-CN"/>
        </w:rPr>
        <w:t>将</w:t>
      </w:r>
      <w:r>
        <w:rPr>
          <w:rFonts w:hint="eastAsia" w:ascii="宋体" w:hAnsi="宋体" w:eastAsia="宋体" w:cs="宋体"/>
          <w:b w:val="0"/>
          <w:bCs w:val="0"/>
          <w:i w:val="0"/>
          <w:caps w:val="0"/>
          <w:color w:val="000000"/>
          <w:spacing w:val="0"/>
          <w:w w:val="100"/>
          <w:sz w:val="32"/>
          <w:szCs w:val="32"/>
          <w:lang w:val="en-US" w:eastAsia="zh-CN"/>
        </w:rPr>
        <w:t>承包合作社或个人主体，按照年生产经营营业收入的30%支付承包。</w:t>
      </w:r>
      <w:r>
        <w:rPr>
          <w:rFonts w:hint="eastAsia" w:ascii="宋体" w:hAnsi="宋体" w:eastAsia="宋体" w:cs="宋体"/>
          <w:b w:val="0"/>
          <w:bCs/>
          <w:i w:val="0"/>
          <w:caps w:val="0"/>
          <w:color w:val="000000"/>
          <w:spacing w:val="0"/>
          <w:w w:val="100"/>
          <w:sz w:val="32"/>
          <w:szCs w:val="32"/>
        </w:rPr>
        <w:t>按照扶贫项目管理办法进行管理</w:t>
      </w:r>
      <w:r>
        <w:rPr>
          <w:rFonts w:hint="eastAsia" w:ascii="宋体" w:hAnsi="宋体" w:eastAsia="宋体" w:cs="宋体"/>
          <w:b w:val="0"/>
          <w:bCs/>
          <w:i w:val="0"/>
          <w:caps w:val="0"/>
          <w:color w:val="000000"/>
          <w:spacing w:val="0"/>
          <w:w w:val="100"/>
          <w:sz w:val="32"/>
          <w:szCs w:val="32"/>
          <w:lang w:eastAsia="zh-CN"/>
        </w:rPr>
        <w:t>，</w:t>
      </w:r>
      <w:r>
        <w:rPr>
          <w:rFonts w:hint="eastAsia" w:ascii="宋体" w:hAnsi="宋体" w:eastAsia="宋体" w:cs="宋体"/>
          <w:b w:val="0"/>
          <w:bCs/>
          <w:i w:val="0"/>
          <w:caps w:val="0"/>
          <w:color w:val="000000"/>
          <w:spacing w:val="0"/>
          <w:w w:val="100"/>
          <w:sz w:val="32"/>
          <w:szCs w:val="32"/>
        </w:rPr>
        <w:t>确保项目建设成后运营良好。</w:t>
      </w:r>
    </w:p>
    <w:p>
      <w:pPr>
        <w:ind w:firstLine="420" w:firstLineChars="200"/>
        <w:rPr>
          <w:rFonts w:hint="eastAsia" w:ascii="宋体" w:hAnsi="宋体" w:eastAsia="宋体" w:cs="宋体"/>
          <w:lang w:val="en-US" w:eastAsia="zh-CN"/>
        </w:rPr>
      </w:pPr>
    </w:p>
    <w:p>
      <w:pPr>
        <w:widowControl w:val="0"/>
        <w:ind w:firstLine="643" w:firstLineChars="200"/>
        <w:outlineLvl w:val="0"/>
        <w:rPr>
          <w:rFonts w:hint="eastAsia" w:ascii="Calibri" w:hAnsi="Calibri" w:eastAsia="宋体" w:cs="Times New Roman"/>
          <w:b/>
          <w:bCs/>
          <w:color w:val="auto"/>
          <w:sz w:val="32"/>
          <w:szCs w:val="32"/>
          <w:highlight w:val="none"/>
        </w:rPr>
      </w:pPr>
      <w:bookmarkStart w:id="61" w:name="_Toc7483"/>
      <w:r>
        <w:rPr>
          <w:rFonts w:hint="eastAsia" w:cs="Times New Roman"/>
          <w:b/>
          <w:bCs/>
          <w:color w:val="auto"/>
          <w:sz w:val="32"/>
          <w:szCs w:val="32"/>
          <w:highlight w:val="none"/>
          <w:lang w:eastAsia="zh-CN"/>
        </w:rPr>
        <w:t>六、</w:t>
      </w:r>
      <w:r>
        <w:rPr>
          <w:rFonts w:hint="eastAsia" w:ascii="Calibri" w:hAnsi="Calibri" w:eastAsia="宋体" w:cs="Times New Roman"/>
          <w:b/>
          <w:bCs/>
          <w:color w:val="auto"/>
          <w:sz w:val="32"/>
          <w:szCs w:val="32"/>
          <w:highlight w:val="none"/>
        </w:rPr>
        <w:t>项目实施进度</w:t>
      </w:r>
      <w:bookmarkEnd w:id="61"/>
    </w:p>
    <w:p>
      <w:pPr>
        <w:widowControl w:val="0"/>
        <w:ind w:firstLine="640" w:firstLineChars="200"/>
        <w:outlineLvl w:val="1"/>
        <w:rPr>
          <w:rFonts w:hint="eastAsia" w:ascii="Calibri" w:hAnsi="Calibri" w:eastAsia="宋体" w:cs="Times New Roman"/>
          <w:color w:val="auto"/>
          <w:sz w:val="32"/>
          <w:szCs w:val="32"/>
          <w:highlight w:val="none"/>
          <w:lang w:val="en-US" w:eastAsia="zh-CN"/>
        </w:rPr>
      </w:pPr>
      <w:bookmarkStart w:id="62" w:name="_Toc480540245"/>
      <w:bookmarkEnd w:id="62"/>
      <w:bookmarkStart w:id="63" w:name="_Toc226972595"/>
      <w:bookmarkEnd w:id="63"/>
      <w:bookmarkStart w:id="64" w:name="_Toc498455273"/>
      <w:bookmarkEnd w:id="64"/>
      <w:bookmarkStart w:id="65" w:name="_Toc23466871"/>
      <w:bookmarkEnd w:id="65"/>
      <w:bookmarkStart w:id="66" w:name="_Toc358299470"/>
      <w:bookmarkEnd w:id="66"/>
      <w:bookmarkStart w:id="67" w:name="_Toc266010424"/>
      <w:bookmarkEnd w:id="67"/>
      <w:bookmarkStart w:id="68" w:name="_Toc227143104"/>
      <w:bookmarkEnd w:id="68"/>
      <w:bookmarkStart w:id="69" w:name="_Toc287975259"/>
      <w:bookmarkEnd w:id="69"/>
      <w:bookmarkStart w:id="70" w:name="_Toc480472793"/>
      <w:bookmarkEnd w:id="70"/>
      <w:bookmarkStart w:id="71" w:name="_Toc209003548"/>
      <w:bookmarkEnd w:id="71"/>
      <w:bookmarkStart w:id="72" w:name="_Toc215746813"/>
      <w:bookmarkEnd w:id="72"/>
      <w:bookmarkStart w:id="73" w:name="_Toc253390030"/>
      <w:bookmarkEnd w:id="73"/>
      <w:bookmarkStart w:id="74" w:name="_Toc193000938"/>
      <w:bookmarkEnd w:id="74"/>
      <w:bookmarkStart w:id="75" w:name="_Toc479964771"/>
      <w:bookmarkEnd w:id="75"/>
      <w:bookmarkStart w:id="76" w:name="_Toc279504429"/>
      <w:bookmarkEnd w:id="76"/>
      <w:bookmarkStart w:id="77" w:name="_Toc200854184"/>
      <w:bookmarkEnd w:id="77"/>
      <w:bookmarkStart w:id="78" w:name="_Toc496632590"/>
      <w:bookmarkEnd w:id="78"/>
      <w:bookmarkStart w:id="79" w:name="_Toc496466605"/>
      <w:bookmarkEnd w:id="79"/>
      <w:bookmarkStart w:id="80" w:name="_Toc365970511"/>
      <w:bookmarkEnd w:id="80"/>
      <w:bookmarkStart w:id="81" w:name="_Toc172366649"/>
      <w:bookmarkEnd w:id="81"/>
      <w:bookmarkStart w:id="82" w:name="_Toc498508678"/>
      <w:bookmarkEnd w:id="82"/>
      <w:bookmarkStart w:id="83" w:name="_Toc479964141"/>
      <w:bookmarkEnd w:id="83"/>
      <w:bookmarkStart w:id="84" w:name="_Toc268106738"/>
      <w:bookmarkEnd w:id="84"/>
      <w:bookmarkStart w:id="85" w:name="_Toc496463923"/>
      <w:bookmarkEnd w:id="85"/>
      <w:bookmarkStart w:id="86" w:name="_Toc358198462"/>
      <w:bookmarkEnd w:id="86"/>
      <w:bookmarkStart w:id="87" w:name="_Toc496549202"/>
      <w:bookmarkEnd w:id="87"/>
      <w:bookmarkStart w:id="88" w:name="_Toc268107864"/>
      <w:bookmarkEnd w:id="88"/>
      <w:bookmarkStart w:id="89" w:name="_Toc262062046"/>
      <w:bookmarkEnd w:id="89"/>
      <w:bookmarkStart w:id="90" w:name="_Toc477613673"/>
      <w:bookmarkEnd w:id="90"/>
      <w:bookmarkStart w:id="91" w:name="_Toc268078903"/>
      <w:bookmarkEnd w:id="91"/>
      <w:bookmarkStart w:id="92" w:name="_Toc255722096"/>
      <w:bookmarkEnd w:id="92"/>
      <w:bookmarkStart w:id="93" w:name="_Toc410664234"/>
      <w:bookmarkEnd w:id="93"/>
      <w:bookmarkStart w:id="94" w:name="_Toc197137214"/>
      <w:bookmarkEnd w:id="94"/>
      <w:bookmarkStart w:id="95" w:name="_Toc358198669"/>
      <w:bookmarkEnd w:id="95"/>
      <w:bookmarkStart w:id="96" w:name="_Toc268452617"/>
      <w:bookmarkEnd w:id="96"/>
      <w:bookmarkStart w:id="97" w:name="_Toc477617457"/>
      <w:bookmarkEnd w:id="97"/>
      <w:bookmarkStart w:id="98" w:name="_Toc324238952"/>
      <w:bookmarkEnd w:id="98"/>
      <w:bookmarkStart w:id="99" w:name="_Toc365970781"/>
      <w:bookmarkEnd w:id="99"/>
      <w:bookmarkStart w:id="100" w:name="_Toc477626564"/>
      <w:bookmarkEnd w:id="100"/>
      <w:bookmarkStart w:id="101" w:name="_Toc265579523"/>
      <w:bookmarkEnd w:id="101"/>
      <w:bookmarkStart w:id="102" w:name="_Toc194116353"/>
      <w:bookmarkEnd w:id="102"/>
      <w:bookmarkStart w:id="103" w:name="_Toc498624907"/>
      <w:bookmarkEnd w:id="103"/>
      <w:bookmarkStart w:id="104" w:name="_Toc172454758"/>
      <w:bookmarkEnd w:id="104"/>
      <w:bookmarkStart w:id="105" w:name="_Toc214622070"/>
      <w:bookmarkEnd w:id="105"/>
      <w:bookmarkStart w:id="106" w:name="_Toc497935650"/>
      <w:bookmarkEnd w:id="106"/>
      <w:bookmarkStart w:id="107" w:name="_Toc498350091"/>
      <w:bookmarkEnd w:id="107"/>
      <w:bookmarkStart w:id="108" w:name="_Toc498354252"/>
      <w:bookmarkEnd w:id="108"/>
      <w:bookmarkStart w:id="109" w:name="_Toc226958240"/>
      <w:bookmarkEnd w:id="109"/>
      <w:bookmarkStart w:id="110" w:name="_Toc223869911"/>
      <w:bookmarkEnd w:id="110"/>
      <w:bookmarkStart w:id="111" w:name="_Toc208636044"/>
      <w:bookmarkEnd w:id="111"/>
      <w:bookmarkStart w:id="112" w:name="_Toc268106419"/>
      <w:bookmarkEnd w:id="112"/>
      <w:bookmarkStart w:id="113" w:name="_Toc480474528"/>
      <w:bookmarkEnd w:id="113"/>
      <w:bookmarkStart w:id="114" w:name="_Toc498597038"/>
      <w:bookmarkEnd w:id="114"/>
      <w:bookmarkStart w:id="115" w:name="_Toc1346"/>
      <w:r>
        <w:rPr>
          <w:rFonts w:hint="eastAsia" w:ascii="Calibri" w:hAnsi="Calibri" w:eastAsia="宋体" w:cs="Times New Roman"/>
          <w:color w:val="auto"/>
          <w:sz w:val="32"/>
          <w:szCs w:val="32"/>
          <w:highlight w:val="none"/>
          <w:lang w:val="en-US" w:eastAsia="zh-CN"/>
        </w:rPr>
        <w:t>1、</w:t>
      </w:r>
      <w:r>
        <w:rPr>
          <w:rFonts w:hint="eastAsia" w:ascii="Calibri" w:hAnsi="Calibri" w:eastAsia="宋体" w:cs="Times New Roman"/>
          <w:color w:val="auto"/>
          <w:sz w:val="32"/>
          <w:szCs w:val="32"/>
          <w:highlight w:val="none"/>
        </w:rPr>
        <w:t>项目实施进度计划</w:t>
      </w:r>
    </w:p>
    <w:p>
      <w:pPr>
        <w:widowControl w:val="0"/>
        <w:ind w:firstLine="640" w:firstLineChars="200"/>
        <w:outlineLvl w:val="2"/>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（1）项目前期工作和工程实施准备</w:t>
      </w:r>
      <w:bookmarkEnd w:id="11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项目可行性研究报告的编制和审批、初步设计和施工图设计及审批等，同期开展项目的资金筹措，工程招标及工程实施准备工作。项目建设期</w:t>
      </w:r>
      <w:r>
        <w:rPr>
          <w:rFonts w:hint="eastAsia" w:cs="Times New Roman"/>
          <w:color w:val="auto"/>
          <w:sz w:val="32"/>
          <w:szCs w:val="32"/>
          <w:highlight w:val="none"/>
          <w:lang w:val="en-US" w:eastAsia="zh-CN"/>
        </w:rPr>
        <w:t>为4</w:t>
      </w:r>
      <w:r>
        <w:rPr>
          <w:rFonts w:hint="eastAsia" w:ascii="Calibri" w:hAnsi="Calibri" w:eastAsia="宋体" w:cs="Times New Roman"/>
          <w:color w:val="auto"/>
          <w:sz w:val="32"/>
          <w:szCs w:val="32"/>
          <w:highlight w:val="none"/>
          <w:lang w:val="en-US" w:eastAsia="zh-CN"/>
        </w:rPr>
        <w:t>个月</w:t>
      </w:r>
      <w:r>
        <w:rPr>
          <w:rFonts w:hint="eastAsia" w:cs="Times New Roman"/>
          <w:color w:val="auto"/>
          <w:sz w:val="32"/>
          <w:szCs w:val="32"/>
          <w:highlight w:val="none"/>
          <w:lang w:val="en-US" w:eastAsia="zh-CN"/>
        </w:rPr>
        <w:t>；</w:t>
      </w:r>
    </w:p>
    <w:p>
      <w:pPr>
        <w:widowControl w:val="0"/>
        <w:ind w:firstLine="640" w:firstLineChars="200"/>
        <w:outlineLvl w:val="2"/>
        <w:rPr>
          <w:rFonts w:hint="eastAsia" w:ascii="Calibri" w:hAnsi="Calibri" w:eastAsia="宋体" w:cs="Times New Roman"/>
          <w:color w:val="auto"/>
          <w:sz w:val="32"/>
          <w:szCs w:val="32"/>
          <w:highlight w:val="none"/>
          <w:lang w:val="en-US" w:eastAsia="zh-CN"/>
        </w:rPr>
      </w:pPr>
      <w:bookmarkStart w:id="116" w:name="_Toc21279"/>
      <w:r>
        <w:rPr>
          <w:rFonts w:hint="eastAsia" w:ascii="Calibri" w:hAnsi="Calibri" w:eastAsia="宋体" w:cs="Times New Roman"/>
          <w:color w:val="auto"/>
          <w:sz w:val="32"/>
          <w:szCs w:val="32"/>
          <w:highlight w:val="none"/>
          <w:lang w:val="en-US" w:eastAsia="zh-CN"/>
        </w:rPr>
        <w:t>（2）工程建设</w:t>
      </w:r>
      <w:bookmarkEnd w:id="116"/>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平整场地、基础设施施工、工程安装直至竣工验收工期估算为</w:t>
      </w:r>
      <w:r>
        <w:rPr>
          <w:rFonts w:hint="eastAsia" w:cs="Times New Roman"/>
          <w:color w:val="auto"/>
          <w:sz w:val="32"/>
          <w:szCs w:val="32"/>
          <w:highlight w:val="none"/>
          <w:lang w:val="en-US" w:eastAsia="zh-CN"/>
        </w:rPr>
        <w:t>4</w:t>
      </w:r>
      <w:r>
        <w:rPr>
          <w:rFonts w:hint="eastAsia" w:ascii="Calibri" w:hAnsi="Calibri" w:eastAsia="宋体" w:cs="Times New Roman"/>
          <w:color w:val="auto"/>
          <w:sz w:val="32"/>
          <w:szCs w:val="32"/>
          <w:highlight w:val="none"/>
          <w:lang w:val="en-US" w:eastAsia="zh-CN"/>
        </w:rPr>
        <w:t>个月：准备及平整场地工期为1个月；基础设施施工工期为</w:t>
      </w:r>
      <w:r>
        <w:rPr>
          <w:rFonts w:hint="eastAsia" w:cs="Times New Roman"/>
          <w:color w:val="auto"/>
          <w:sz w:val="32"/>
          <w:szCs w:val="32"/>
          <w:highlight w:val="none"/>
          <w:lang w:val="en-US" w:eastAsia="zh-CN"/>
        </w:rPr>
        <w:t>3</w:t>
      </w:r>
      <w:r>
        <w:rPr>
          <w:rFonts w:hint="eastAsia" w:ascii="Calibri" w:hAnsi="Calibri" w:eastAsia="宋体" w:cs="Times New Roman"/>
          <w:color w:val="auto"/>
          <w:sz w:val="32"/>
          <w:szCs w:val="32"/>
          <w:highlight w:val="none"/>
          <w:lang w:val="en-US" w:eastAsia="zh-CN"/>
        </w:rPr>
        <w:t>个月；各阶段之间互相交叉，确保本阶段工程的建设工期在</w:t>
      </w:r>
      <w:r>
        <w:rPr>
          <w:rFonts w:hint="eastAsia" w:cs="Times New Roman"/>
          <w:color w:val="auto"/>
          <w:sz w:val="32"/>
          <w:szCs w:val="32"/>
          <w:highlight w:val="none"/>
          <w:lang w:val="en-US" w:eastAsia="zh-CN"/>
        </w:rPr>
        <w:t>4</w:t>
      </w:r>
      <w:r>
        <w:rPr>
          <w:rFonts w:hint="eastAsia" w:ascii="Calibri" w:hAnsi="Calibri" w:eastAsia="宋体" w:cs="Times New Roman"/>
          <w:color w:val="auto"/>
          <w:sz w:val="32"/>
          <w:szCs w:val="32"/>
          <w:highlight w:val="none"/>
          <w:lang w:val="en-US" w:eastAsia="zh-CN"/>
        </w:rPr>
        <w:t>个月内完成，投入正式运营。（项目建设阶段实施进度详见下表）</w:t>
      </w:r>
    </w:p>
    <w:p>
      <w:pPr>
        <w:widowControl w:val="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 xml:space="preserve">   </w:t>
      </w:r>
      <w:r>
        <w:rPr>
          <w:rFonts w:hint="eastAsia" w:cs="Times New Roman"/>
          <w:color w:val="auto"/>
          <w:sz w:val="32"/>
          <w:szCs w:val="32"/>
          <w:highlight w:val="none"/>
          <w:lang w:val="en-US" w:eastAsia="zh-CN"/>
        </w:rPr>
        <w:t xml:space="preserve">            </w:t>
      </w:r>
      <w:r>
        <w:rPr>
          <w:rFonts w:hint="eastAsia" w:ascii="Calibri" w:hAnsi="Calibri" w:eastAsia="宋体" w:cs="Times New Roman"/>
          <w:color w:val="auto"/>
          <w:sz w:val="32"/>
          <w:szCs w:val="32"/>
          <w:highlight w:val="none"/>
          <w:lang w:val="en-US" w:eastAsia="zh-CN"/>
        </w:rPr>
        <w:t xml:space="preserve">项目建设进度计划表       </w:t>
      </w:r>
    </w:p>
    <w:tbl>
      <w:tblPr>
        <w:tblStyle w:val="10"/>
        <w:tblW w:w="8478" w:type="dxa"/>
        <w:tblInd w:w="0" w:type="dxa"/>
        <w:tblLayout w:type="fixed"/>
        <w:tblCellMar>
          <w:top w:w="0" w:type="dxa"/>
          <w:left w:w="108" w:type="dxa"/>
          <w:bottom w:w="0" w:type="dxa"/>
          <w:right w:w="108" w:type="dxa"/>
        </w:tblCellMar>
      </w:tblPr>
      <w:tblGrid>
        <w:gridCol w:w="658"/>
        <w:gridCol w:w="1478"/>
        <w:gridCol w:w="4630"/>
        <w:gridCol w:w="1712"/>
      </w:tblGrid>
      <w:tr>
        <w:tblPrEx>
          <w:tblCellMar>
            <w:top w:w="0" w:type="dxa"/>
            <w:left w:w="108" w:type="dxa"/>
            <w:bottom w:w="0" w:type="dxa"/>
            <w:right w:w="108" w:type="dxa"/>
          </w:tblCellMar>
        </w:tblPrEx>
        <w:trPr>
          <w:trHeight w:val="426" w:hRule="atLeast"/>
        </w:trPr>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编号</w:t>
            </w:r>
          </w:p>
        </w:tc>
        <w:tc>
          <w:tcPr>
            <w:tcW w:w="147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工程名称</w:t>
            </w:r>
          </w:p>
        </w:tc>
        <w:tc>
          <w:tcPr>
            <w:tcW w:w="463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工作内容</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实施时间</w:t>
            </w:r>
          </w:p>
        </w:tc>
      </w:tr>
      <w:tr>
        <w:tblPrEx>
          <w:tblCellMar>
            <w:top w:w="0" w:type="dxa"/>
            <w:left w:w="108" w:type="dxa"/>
            <w:bottom w:w="0" w:type="dxa"/>
            <w:right w:w="108" w:type="dxa"/>
          </w:tblCellMar>
        </w:tblPrEx>
        <w:trPr>
          <w:trHeight w:val="324" w:hRule="atLeast"/>
        </w:trPr>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1</w:t>
            </w:r>
          </w:p>
        </w:tc>
        <w:tc>
          <w:tcPr>
            <w:tcW w:w="147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前期工作</w:t>
            </w:r>
          </w:p>
        </w:tc>
        <w:tc>
          <w:tcPr>
            <w:tcW w:w="463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可研编制、勘测设计、审批立项、落实资金、工程招标等</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1个月</w:t>
            </w:r>
          </w:p>
        </w:tc>
      </w:tr>
      <w:tr>
        <w:tblPrEx>
          <w:tblCellMar>
            <w:top w:w="0" w:type="dxa"/>
            <w:left w:w="108" w:type="dxa"/>
            <w:bottom w:w="0" w:type="dxa"/>
            <w:right w:w="108" w:type="dxa"/>
          </w:tblCellMar>
        </w:tblPrEx>
        <w:trPr>
          <w:trHeight w:val="309" w:hRule="atLeast"/>
        </w:trPr>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2</w:t>
            </w:r>
          </w:p>
        </w:tc>
        <w:tc>
          <w:tcPr>
            <w:tcW w:w="147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基础设施工程</w:t>
            </w:r>
          </w:p>
        </w:tc>
        <w:tc>
          <w:tcPr>
            <w:tcW w:w="463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场地平整、基础设施、</w:t>
            </w:r>
            <w:r>
              <w:rPr>
                <w:rFonts w:hint="eastAsia" w:cs="Times New Roman"/>
                <w:color w:val="auto"/>
                <w:sz w:val="21"/>
                <w:szCs w:val="21"/>
                <w:highlight w:val="none"/>
                <w:lang w:val="en-US" w:eastAsia="zh-CN"/>
              </w:rPr>
              <w:t>建筑</w:t>
            </w:r>
            <w:r>
              <w:rPr>
                <w:rFonts w:hint="eastAsia" w:ascii="Calibri" w:hAnsi="Calibri" w:eastAsia="宋体" w:cs="Times New Roman"/>
                <w:color w:val="auto"/>
                <w:sz w:val="21"/>
                <w:szCs w:val="21"/>
                <w:highlight w:val="none"/>
                <w:lang w:val="en-US" w:eastAsia="zh-CN"/>
              </w:rPr>
              <w:t>施工等</w:t>
            </w:r>
          </w:p>
        </w:tc>
        <w:tc>
          <w:tcPr>
            <w:tcW w:w="1712"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w:t>
            </w:r>
            <w:r>
              <w:rPr>
                <w:rFonts w:hint="eastAsia" w:ascii="Calibri" w:hAnsi="Calibri" w:eastAsia="宋体" w:cs="Times New Roman"/>
                <w:color w:val="auto"/>
                <w:sz w:val="21"/>
                <w:szCs w:val="21"/>
                <w:highlight w:val="none"/>
                <w:lang w:val="en-US" w:eastAsia="zh-CN"/>
              </w:rPr>
              <w:t>个月</w:t>
            </w:r>
          </w:p>
        </w:tc>
      </w:tr>
      <w:tr>
        <w:tblPrEx>
          <w:tblCellMar>
            <w:top w:w="0" w:type="dxa"/>
            <w:left w:w="108" w:type="dxa"/>
            <w:bottom w:w="0" w:type="dxa"/>
            <w:right w:w="108" w:type="dxa"/>
          </w:tblCellMar>
        </w:tblPrEx>
        <w:trPr>
          <w:trHeight w:val="349" w:hRule="atLeast"/>
        </w:trPr>
        <w:tc>
          <w:tcPr>
            <w:tcW w:w="8478" w:type="dxa"/>
            <w:gridSpan w:val="4"/>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 xml:space="preserve">                                    建设期</w:t>
            </w:r>
            <w:r>
              <w:rPr>
                <w:rFonts w:hint="eastAsia" w:cs="Times New Roman"/>
                <w:color w:val="auto"/>
                <w:sz w:val="21"/>
                <w:szCs w:val="21"/>
                <w:highlight w:val="none"/>
                <w:lang w:val="en-US" w:eastAsia="zh-CN"/>
              </w:rPr>
              <w:t>4</w:t>
            </w:r>
            <w:r>
              <w:rPr>
                <w:rFonts w:hint="eastAsia" w:ascii="Calibri" w:hAnsi="Calibri" w:eastAsia="宋体" w:cs="Times New Roman"/>
                <w:color w:val="auto"/>
                <w:sz w:val="21"/>
                <w:szCs w:val="21"/>
                <w:highlight w:val="none"/>
                <w:lang w:val="en-US" w:eastAsia="zh-CN"/>
              </w:rPr>
              <w:t>个月</w:t>
            </w:r>
          </w:p>
        </w:tc>
      </w:tr>
    </w:tbl>
    <w:p>
      <w:pPr>
        <w:widowControl w:val="0"/>
        <w:ind w:firstLine="640" w:firstLineChars="200"/>
        <w:outlineLvl w:val="1"/>
        <w:rPr>
          <w:rFonts w:hint="eastAsia" w:ascii="Calibri" w:hAnsi="Calibri" w:eastAsia="宋体" w:cs="Times New Roman"/>
          <w:color w:val="auto"/>
          <w:sz w:val="32"/>
          <w:szCs w:val="32"/>
          <w:highlight w:val="none"/>
        </w:rPr>
      </w:pPr>
      <w:bookmarkStart w:id="117" w:name="_Toc23964"/>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招标方案</w:t>
      </w:r>
      <w:bookmarkEnd w:id="117"/>
    </w:p>
    <w:p>
      <w:pPr>
        <w:widowControl w:val="0"/>
        <w:ind w:firstLine="640" w:firstLineChars="200"/>
        <w:rPr>
          <w:rFonts w:hint="eastAsia" w:ascii="Calibri" w:hAnsi="Calibri" w:eastAsia="宋体" w:cs="Times New Roman"/>
          <w:color w:val="auto"/>
          <w:sz w:val="32"/>
          <w:szCs w:val="32"/>
          <w:highlight w:val="none"/>
          <w:lang w:val="en-US" w:eastAsia="zh-CN"/>
        </w:rPr>
      </w:pPr>
      <w:bookmarkStart w:id="118" w:name="_Toc28826327"/>
      <w:bookmarkStart w:id="119" w:name="_Toc28190719"/>
      <w:bookmarkStart w:id="120" w:name="_Toc17971"/>
      <w:bookmarkStart w:id="121" w:name="_Toc5567"/>
      <w:bookmarkStart w:id="122" w:name="_Toc60686193"/>
      <w:bookmarkStart w:id="123" w:name="_Toc28826061"/>
      <w:bookmarkStart w:id="124" w:name="_Toc28818738"/>
      <w:bookmarkStart w:id="125" w:name="_Toc25521616"/>
      <w:r>
        <w:rPr>
          <w:rFonts w:hint="eastAsia" w:ascii="Calibri" w:hAnsi="Calibri" w:eastAsia="宋体" w:cs="Times New Roman"/>
          <w:color w:val="auto"/>
          <w:sz w:val="32"/>
          <w:szCs w:val="32"/>
          <w:highlight w:val="none"/>
          <w:lang w:val="en-US" w:eastAsia="zh-CN"/>
        </w:rPr>
        <w:t>本项目依据《中华人民共和国招标投标法》；《新疆维吾尔自治区建设工程招标投标管理办法》：中华人民共和国国家发展和改革委员会令第16号《必须招标的工程项目规定》进行招投标</w:t>
      </w:r>
      <w:bookmarkEnd w:id="118"/>
      <w:bookmarkEnd w:id="119"/>
      <w:bookmarkEnd w:id="120"/>
      <w:bookmarkEnd w:id="121"/>
      <w:bookmarkEnd w:id="122"/>
      <w:bookmarkEnd w:id="123"/>
      <w:bookmarkEnd w:id="124"/>
      <w:bookmarkEnd w:id="125"/>
      <w:r>
        <w:rPr>
          <w:rFonts w:hint="eastAsia" w:ascii="Calibri" w:hAnsi="Calibri" w:eastAsia="宋体" w:cs="Times New Roman"/>
          <w:color w:val="auto"/>
          <w:sz w:val="32"/>
          <w:szCs w:val="32"/>
          <w:highlight w:val="none"/>
          <w:lang w:val="en-US" w:eastAsia="zh-CN"/>
        </w:rPr>
        <w:t>。为保证工程质量和进度，控制工程造价，防范和化解工程建设中的违规行为，规范招标、招标活动，保护国家、社会公共利益和当事人的合法权益，确保项目建成后达到一流水平，其设计、承建等单位的选择至关重要。按照《中华人民共和国招投标法》，编制了本项目的招投标方案。在招标过程中要遵循公开、公平、公正和诚实信用的原则，并应当接受依法实施的监督。</w:t>
      </w:r>
      <w:bookmarkStart w:id="126" w:name="_Toc70334108"/>
      <w:bookmarkEnd w:id="126"/>
      <w:bookmarkStart w:id="127" w:name="_Toc358198657"/>
      <w:bookmarkEnd w:id="127"/>
      <w:bookmarkStart w:id="128" w:name="_Toc358299458"/>
      <w:bookmarkEnd w:id="128"/>
      <w:bookmarkStart w:id="129" w:name="_Toc365970507"/>
      <w:bookmarkEnd w:id="129"/>
      <w:bookmarkStart w:id="130" w:name="_Toc358198450"/>
      <w:bookmarkEnd w:id="130"/>
      <w:bookmarkStart w:id="131" w:name="_Toc479964767"/>
      <w:bookmarkEnd w:id="131"/>
      <w:bookmarkStart w:id="132" w:name="_Toc496466601"/>
      <w:bookmarkEnd w:id="132"/>
      <w:bookmarkStart w:id="133" w:name="_Toc498597034"/>
      <w:bookmarkEnd w:id="133"/>
      <w:bookmarkStart w:id="134" w:name="_Toc350255721"/>
      <w:bookmarkEnd w:id="134"/>
      <w:bookmarkStart w:id="135" w:name="_Toc498354248"/>
      <w:bookmarkEnd w:id="135"/>
      <w:bookmarkStart w:id="136" w:name="_Toc498508674"/>
      <w:bookmarkEnd w:id="136"/>
      <w:bookmarkStart w:id="137" w:name="_Toc477617453"/>
      <w:bookmarkEnd w:id="137"/>
      <w:bookmarkStart w:id="138" w:name="_Toc480472789"/>
      <w:bookmarkEnd w:id="138"/>
      <w:bookmarkStart w:id="139" w:name="_Toc70334242"/>
      <w:bookmarkEnd w:id="139"/>
      <w:bookmarkStart w:id="140" w:name="_Toc251237059"/>
      <w:bookmarkEnd w:id="140"/>
      <w:bookmarkStart w:id="141" w:name="_Toc480474524"/>
      <w:bookmarkEnd w:id="141"/>
      <w:bookmarkStart w:id="142" w:name="_Toc350253669"/>
      <w:bookmarkEnd w:id="142"/>
      <w:bookmarkStart w:id="143" w:name="_Toc139945861"/>
      <w:bookmarkEnd w:id="143"/>
      <w:bookmarkStart w:id="144" w:name="_Toc497935646"/>
      <w:bookmarkEnd w:id="144"/>
      <w:bookmarkStart w:id="145" w:name="_Toc477626560"/>
      <w:bookmarkEnd w:id="145"/>
      <w:bookmarkStart w:id="146" w:name="_Toc271643626"/>
      <w:bookmarkEnd w:id="146"/>
      <w:bookmarkStart w:id="147" w:name="_Toc365970777"/>
      <w:bookmarkEnd w:id="147"/>
      <w:bookmarkStart w:id="148" w:name="_Toc350253843"/>
      <w:bookmarkEnd w:id="148"/>
      <w:bookmarkStart w:id="149" w:name="_Toc251232551"/>
      <w:bookmarkEnd w:id="149"/>
      <w:bookmarkStart w:id="150" w:name="_Toc498624903"/>
      <w:bookmarkEnd w:id="150"/>
      <w:bookmarkStart w:id="151" w:name="_Toc479964137"/>
      <w:bookmarkEnd w:id="151"/>
      <w:bookmarkStart w:id="152" w:name="_Toc496632586"/>
      <w:bookmarkEnd w:id="152"/>
      <w:bookmarkStart w:id="153" w:name="_Toc498350087"/>
      <w:bookmarkEnd w:id="153"/>
      <w:bookmarkStart w:id="154" w:name="_Toc354502204"/>
      <w:bookmarkEnd w:id="154"/>
      <w:bookmarkStart w:id="155" w:name="_Toc496463919"/>
      <w:bookmarkEnd w:id="155"/>
      <w:bookmarkStart w:id="156" w:name="_Toc410664230"/>
      <w:bookmarkEnd w:id="156"/>
      <w:bookmarkStart w:id="157" w:name="_Toc353923589"/>
      <w:bookmarkEnd w:id="157"/>
      <w:bookmarkStart w:id="158" w:name="_Toc23466867"/>
      <w:bookmarkEnd w:id="158"/>
      <w:bookmarkStart w:id="159" w:name="_Toc477613669"/>
      <w:bookmarkEnd w:id="159"/>
      <w:bookmarkStart w:id="160" w:name="_Toc480540241"/>
      <w:bookmarkEnd w:id="160"/>
      <w:bookmarkStart w:id="161" w:name="_Toc496549198"/>
      <w:bookmarkEnd w:id="161"/>
      <w:bookmarkStart w:id="162" w:name="_Toc498455269"/>
      <w:bookmarkEnd w:id="162"/>
      <w:bookmarkStart w:id="163" w:name="_Toc28826329"/>
      <w:bookmarkStart w:id="164" w:name="_Toc28826063"/>
      <w:bookmarkStart w:id="165" w:name="_Toc28190721"/>
      <w:bookmarkStart w:id="166" w:name="_Toc3147"/>
      <w:bookmarkStart w:id="167" w:name="_Toc10488"/>
      <w:bookmarkStart w:id="168" w:name="_Toc60686195"/>
      <w:bookmarkStart w:id="169" w:name="_Toc28818740"/>
      <w:bookmarkStart w:id="170" w:name="_Toc25521618"/>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（1）项目招标范围及招标组织形式</w:t>
      </w:r>
      <w:bookmarkEnd w:id="163"/>
      <w:bookmarkEnd w:id="164"/>
      <w:bookmarkEnd w:id="165"/>
      <w:bookmarkEnd w:id="166"/>
      <w:bookmarkEnd w:id="167"/>
      <w:bookmarkEnd w:id="168"/>
      <w:bookmarkEnd w:id="169"/>
      <w:bookmarkEnd w:id="170"/>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本项目对以下建设项目主体工程的勘察设计、安装施工、过程监理。按照刚才建设程序，分阶段实施。</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设施建设项目依据《工程建设项目施工招标投标办法》（七部委30号令）第十一条规定，涉及国家安全、国家秘密或者抢险救灾，适宜招标但不宜公开招标的，可以邀请招标。</w:t>
      </w:r>
    </w:p>
    <w:p>
      <w:pPr>
        <w:widowControl w:val="0"/>
        <w:ind w:firstLine="640" w:firstLineChars="200"/>
        <w:rPr>
          <w:rFonts w:hint="eastAsia" w:ascii="Calibri" w:hAnsi="Calibri" w:eastAsia="宋体" w:cs="Times New Roman"/>
          <w:color w:val="auto"/>
          <w:sz w:val="32"/>
          <w:szCs w:val="32"/>
          <w:highlight w:val="none"/>
          <w:lang w:val="en-US" w:eastAsia="zh-CN"/>
        </w:rPr>
      </w:pPr>
      <w:bookmarkStart w:id="171" w:name="_Toc480474525"/>
      <w:bookmarkEnd w:id="171"/>
      <w:bookmarkStart w:id="172" w:name="_Toc498508675"/>
      <w:bookmarkEnd w:id="172"/>
      <w:bookmarkStart w:id="173" w:name="_Toc498455270"/>
      <w:bookmarkEnd w:id="173"/>
      <w:bookmarkStart w:id="174" w:name="_Toc479964138"/>
      <w:bookmarkEnd w:id="174"/>
      <w:bookmarkStart w:id="175" w:name="_Toc477617454"/>
      <w:bookmarkEnd w:id="175"/>
      <w:bookmarkStart w:id="176" w:name="_Toc251232552"/>
      <w:bookmarkEnd w:id="176"/>
      <w:bookmarkStart w:id="177" w:name="_Toc496466602"/>
      <w:bookmarkEnd w:id="177"/>
      <w:bookmarkStart w:id="178" w:name="_Toc496463920"/>
      <w:bookmarkEnd w:id="178"/>
      <w:bookmarkStart w:id="179" w:name="_Toc350255722"/>
      <w:bookmarkEnd w:id="179"/>
      <w:bookmarkStart w:id="180" w:name="_Toc146708497"/>
      <w:bookmarkEnd w:id="180"/>
      <w:bookmarkStart w:id="181" w:name="_Toc353923590"/>
      <w:bookmarkEnd w:id="181"/>
      <w:bookmarkStart w:id="182" w:name="_Toc496549199"/>
      <w:bookmarkEnd w:id="182"/>
      <w:bookmarkStart w:id="183" w:name="_Toc410664231"/>
      <w:bookmarkEnd w:id="183"/>
      <w:bookmarkStart w:id="184" w:name="_Toc477613670"/>
      <w:bookmarkEnd w:id="184"/>
      <w:bookmarkStart w:id="185" w:name="_Toc365970508"/>
      <w:bookmarkEnd w:id="185"/>
      <w:bookmarkStart w:id="186" w:name="_Toc498350088"/>
      <w:bookmarkEnd w:id="186"/>
      <w:bookmarkStart w:id="187" w:name="_Toc496632587"/>
      <w:bookmarkEnd w:id="187"/>
      <w:bookmarkStart w:id="188" w:name="_Toc498354249"/>
      <w:bookmarkEnd w:id="188"/>
      <w:bookmarkStart w:id="189" w:name="_Toc479964768"/>
      <w:bookmarkEnd w:id="189"/>
      <w:bookmarkStart w:id="190" w:name="_Toc350253844"/>
      <w:bookmarkEnd w:id="190"/>
      <w:bookmarkStart w:id="191" w:name="_Toc358299459"/>
      <w:bookmarkEnd w:id="191"/>
      <w:bookmarkStart w:id="192" w:name="_Toc497935647"/>
      <w:bookmarkEnd w:id="192"/>
      <w:bookmarkStart w:id="193" w:name="_Toc358198451"/>
      <w:bookmarkEnd w:id="193"/>
      <w:bookmarkStart w:id="194" w:name="_Toc358198658"/>
      <w:bookmarkEnd w:id="194"/>
      <w:bookmarkStart w:id="195" w:name="_Toc477626561"/>
      <w:bookmarkEnd w:id="195"/>
      <w:bookmarkStart w:id="196" w:name="_Toc251237060"/>
      <w:bookmarkEnd w:id="196"/>
      <w:bookmarkStart w:id="197" w:name="_Toc153015790"/>
      <w:bookmarkEnd w:id="197"/>
      <w:bookmarkStart w:id="198" w:name="_Toc480540242"/>
      <w:bookmarkEnd w:id="198"/>
      <w:bookmarkStart w:id="199" w:name="_Toc480472790"/>
      <w:bookmarkEnd w:id="199"/>
      <w:bookmarkStart w:id="200" w:name="_Toc121304248"/>
      <w:bookmarkEnd w:id="200"/>
      <w:bookmarkStart w:id="201" w:name="_Toc498624904"/>
      <w:bookmarkEnd w:id="201"/>
      <w:bookmarkStart w:id="202" w:name="_Toc23466868"/>
      <w:bookmarkEnd w:id="202"/>
      <w:bookmarkStart w:id="203" w:name="_Toc271643627"/>
      <w:bookmarkEnd w:id="203"/>
      <w:bookmarkStart w:id="204" w:name="_Toc350253670"/>
      <w:bookmarkEnd w:id="204"/>
      <w:bookmarkStart w:id="205" w:name="_Toc365970778"/>
      <w:bookmarkEnd w:id="205"/>
      <w:bookmarkStart w:id="206" w:name="_Toc498597035"/>
      <w:bookmarkEnd w:id="206"/>
      <w:bookmarkStart w:id="207" w:name="_Toc354502205"/>
      <w:bookmarkEnd w:id="207"/>
      <w:bookmarkStart w:id="208" w:name="_Toc28826330"/>
      <w:bookmarkStart w:id="209" w:name="_Toc28826064"/>
      <w:bookmarkStart w:id="210" w:name="_Toc8122"/>
      <w:bookmarkStart w:id="211" w:name="_Toc60686196"/>
      <w:bookmarkStart w:id="212" w:name="_Toc25521619"/>
      <w:bookmarkStart w:id="213" w:name="_Toc28190722"/>
      <w:bookmarkStart w:id="214" w:name="_Toc28818741"/>
      <w:bookmarkStart w:id="215" w:name="_Toc26927"/>
      <w:r>
        <w:rPr>
          <w:rFonts w:hint="eastAsia" w:ascii="Calibri" w:hAnsi="Calibri" w:eastAsia="宋体" w:cs="Times New Roman"/>
          <w:color w:val="auto"/>
          <w:sz w:val="32"/>
          <w:szCs w:val="32"/>
          <w:highlight w:val="none"/>
          <w:lang w:val="en-US" w:eastAsia="zh-CN"/>
        </w:rPr>
        <w:t>（2）招投标程序</w:t>
      </w:r>
      <w:bookmarkEnd w:id="208"/>
      <w:bookmarkEnd w:id="209"/>
      <w:bookmarkEnd w:id="210"/>
      <w:bookmarkEnd w:id="211"/>
      <w:bookmarkEnd w:id="212"/>
      <w:bookmarkEnd w:id="213"/>
      <w:bookmarkEnd w:id="214"/>
      <w:bookmarkEnd w:id="215"/>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根据《招标投标法》招标程序，结合本项目实际情况招标</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lang w:val="en-US" w:eastAsia="zh-CN"/>
        </w:rPr>
        <w:t>委托给依法设立、从事招标代理业务并提供相关服务的乙级以上招标代理机构，具体程序如下：</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cs="Times New Roman"/>
          <w:color w:val="auto"/>
          <w:sz w:val="32"/>
          <w:szCs w:val="32"/>
          <w:highlight w:val="none"/>
          <w:lang w:val="en-US" w:eastAsia="zh-CN"/>
        </w:rPr>
        <w:t>一是</w:t>
      </w:r>
      <w:r>
        <w:rPr>
          <w:rFonts w:hint="eastAsia" w:ascii="Calibri" w:hAnsi="Calibri" w:eastAsia="宋体" w:cs="Times New Roman"/>
          <w:color w:val="auto"/>
          <w:sz w:val="32"/>
          <w:szCs w:val="32"/>
          <w:highlight w:val="none"/>
          <w:lang w:val="en-US" w:eastAsia="zh-CN"/>
        </w:rPr>
        <w:t>本项目按照国家有关规定先履行项目审批手续，取得批准后委托乙级以上招标代理机构进行公开招标。</w:t>
      </w:r>
      <w:r>
        <w:rPr>
          <w:rFonts w:hint="eastAsia" w:cs="Times New Roman"/>
          <w:color w:val="auto"/>
          <w:sz w:val="32"/>
          <w:szCs w:val="32"/>
          <w:highlight w:val="none"/>
          <w:lang w:val="en-US" w:eastAsia="zh-CN"/>
        </w:rPr>
        <w:t>二是</w:t>
      </w:r>
      <w:r>
        <w:rPr>
          <w:rFonts w:hint="eastAsia" w:ascii="Calibri" w:hAnsi="Calibri" w:eastAsia="宋体" w:cs="Times New Roman"/>
          <w:color w:val="auto"/>
          <w:sz w:val="32"/>
          <w:szCs w:val="32"/>
          <w:highlight w:val="none"/>
          <w:lang w:val="en-US" w:eastAsia="zh-CN"/>
        </w:rPr>
        <w:t>招标代理机构在国家指定媒体上发布招标公告。</w:t>
      </w:r>
      <w:r>
        <w:rPr>
          <w:rFonts w:hint="eastAsia" w:cs="Times New Roman"/>
          <w:color w:val="auto"/>
          <w:sz w:val="32"/>
          <w:szCs w:val="32"/>
          <w:highlight w:val="none"/>
          <w:lang w:val="en-US" w:eastAsia="zh-CN"/>
        </w:rPr>
        <w:t>三是</w:t>
      </w:r>
      <w:r>
        <w:rPr>
          <w:rFonts w:hint="eastAsia" w:ascii="Calibri" w:hAnsi="Calibri" w:eastAsia="宋体" w:cs="Times New Roman"/>
          <w:color w:val="auto"/>
          <w:sz w:val="32"/>
          <w:szCs w:val="32"/>
          <w:highlight w:val="none"/>
          <w:lang w:val="en-US" w:eastAsia="zh-CN"/>
        </w:rPr>
        <w:t>本项目的招标文件应当包括项目的技术要求、对投标人资格审查的标准，投标报告要求和评标标准等所有实质性要求和条件以及拟签订合同的主要条款。</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施工企业选择招标：施工企业要求资质在市政三级以上，面向全疆及塔城地区公开选择投标人。本项目投标人应当具备承担招标项目的能力，并应按照招标文件的要求编制投标文件。投标文件的内容应当包括拟派出的项目负责人与主要技术人员的简历、业绩和用于完成招标项目的机构设备等；投标人应当在招标文件要求提交投标文件的截止时间前，将投标文件送达投标地点。公开招标的项目投标人不少于三个的，招标人应当依照本办法重新招标；投标人拟在中标后将中标项目进行分包的，应当在投标文件中载明；投标人不得相互串通投标报价，不得排挤其它投标人的公平竞争，不得损害招标人或其它投标人的合法权益；投标人不得以低于成本的报价投标，也不得以他人名义投标或者以其它方式弄虚作假、骗取中标。</w:t>
      </w:r>
    </w:p>
    <w:p>
      <w:pPr>
        <w:widowControl w:val="0"/>
        <w:ind w:firstLine="320" w:firstLineChars="1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w:t>
      </w:r>
      <w:r>
        <w:rPr>
          <w:rFonts w:hint="eastAsia" w:cs="Times New Roman"/>
          <w:color w:val="auto"/>
          <w:sz w:val="32"/>
          <w:szCs w:val="32"/>
          <w:highlight w:val="none"/>
          <w:lang w:val="en-US" w:eastAsia="zh-CN"/>
        </w:rPr>
        <w:t>3</w:t>
      </w:r>
      <w:r>
        <w:rPr>
          <w:rFonts w:hint="eastAsia" w:ascii="Calibri" w:hAnsi="Calibri" w:eastAsia="宋体" w:cs="Times New Roman"/>
          <w:color w:val="auto"/>
          <w:sz w:val="32"/>
          <w:szCs w:val="32"/>
          <w:highlight w:val="none"/>
          <w:lang w:val="en-US" w:eastAsia="zh-CN"/>
        </w:rPr>
        <w:t>）开标、评标和中标</w:t>
      </w:r>
    </w:p>
    <w:p>
      <w:pPr>
        <w:widowControl w:val="0"/>
        <w:ind w:firstLine="640" w:firstLineChars="2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开标由招标代理机构主持，建设单位参加，在招标文件确定的提交投标文件截止时间的同一时间，招标文件中预先确定的地点，邀请所有投标人参加；评标由招标代理机构依法组建的评标委员会负责。评标委员会由五人以上单数组成，其中技术、经济等方面的专家不得少于成员总数的三分之二。专家应当从事相关领域工作满八年并具有高级职称或具有同等专业水平；评标委员会成员应当客观、公正地履行职务，遵守职业道德，对提出的评审意见承担个人责任；中标人确定后，招标人应向其发出中标通知书，并同时将中标结果通知所有未中标投标人。自中标通知发出三十日内，招标人和中标人应按招标文凭投标文件订立书面合同。</w:t>
      </w:r>
    </w:p>
    <w:p>
      <w:pPr>
        <w:widowControl w:val="0"/>
        <w:ind w:firstLine="2880" w:firstLineChars="900"/>
        <w:rPr>
          <w:rFonts w:hint="eastAsia" w:ascii="Calibri" w:hAnsi="Calibri" w:eastAsia="宋体" w:cs="Times New Roman"/>
          <w:color w:val="auto"/>
          <w:sz w:val="32"/>
          <w:szCs w:val="32"/>
          <w:highlight w:val="none"/>
          <w:lang w:val="en-US" w:eastAsia="zh-CN"/>
        </w:rPr>
      </w:pPr>
      <w:r>
        <w:rPr>
          <w:rFonts w:hint="eastAsia" w:ascii="Calibri" w:hAnsi="Calibri" w:eastAsia="宋体" w:cs="Times New Roman"/>
          <w:color w:val="auto"/>
          <w:sz w:val="32"/>
          <w:szCs w:val="32"/>
          <w:highlight w:val="none"/>
          <w:lang w:val="en-US" w:eastAsia="zh-CN"/>
        </w:rPr>
        <w:t>招标基本方案表</w:t>
      </w:r>
    </w:p>
    <w:tbl>
      <w:tblPr>
        <w:tblStyle w:val="10"/>
        <w:tblpPr w:leftFromText="180" w:rightFromText="180" w:vertAnchor="text" w:horzAnchor="page" w:tblpX="1785" w:tblpY="652"/>
        <w:tblOverlap w:val="never"/>
        <w:tblW w:w="8519" w:type="dxa"/>
        <w:tblInd w:w="0" w:type="dxa"/>
        <w:tblLayout w:type="fixed"/>
        <w:tblCellMar>
          <w:top w:w="0" w:type="dxa"/>
          <w:left w:w="108" w:type="dxa"/>
          <w:bottom w:w="0" w:type="dxa"/>
          <w:right w:w="108" w:type="dxa"/>
        </w:tblCellMar>
      </w:tblPr>
      <w:tblGrid>
        <w:gridCol w:w="1126"/>
        <w:gridCol w:w="817"/>
        <w:gridCol w:w="754"/>
        <w:gridCol w:w="818"/>
        <w:gridCol w:w="834"/>
        <w:gridCol w:w="820"/>
        <w:gridCol w:w="824"/>
        <w:gridCol w:w="817"/>
        <w:gridCol w:w="1129"/>
        <w:gridCol w:w="580"/>
      </w:tblGrid>
      <w:tr>
        <w:tblPrEx>
          <w:tblCellMar>
            <w:top w:w="0" w:type="dxa"/>
            <w:left w:w="108" w:type="dxa"/>
            <w:bottom w:w="0" w:type="dxa"/>
            <w:right w:w="108" w:type="dxa"/>
          </w:tblCellMar>
        </w:tblPrEx>
        <w:trPr>
          <w:trHeight w:val="579" w:hRule="atLeast"/>
        </w:trPr>
        <w:tc>
          <w:tcPr>
            <w:tcW w:w="11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项目</w:t>
            </w:r>
          </w:p>
        </w:tc>
        <w:tc>
          <w:tcPr>
            <w:tcW w:w="157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招标范围</w:t>
            </w:r>
          </w:p>
        </w:tc>
        <w:tc>
          <w:tcPr>
            <w:tcW w:w="165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招标组织形式</w:t>
            </w:r>
          </w:p>
        </w:tc>
        <w:tc>
          <w:tcPr>
            <w:tcW w:w="1644"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招标方式</w:t>
            </w:r>
          </w:p>
        </w:tc>
        <w:tc>
          <w:tcPr>
            <w:tcW w:w="81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不采用招标方式</w:t>
            </w:r>
          </w:p>
        </w:tc>
        <w:tc>
          <w:tcPr>
            <w:tcW w:w="112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招标估算金额（万元）</w:t>
            </w:r>
          </w:p>
        </w:tc>
        <w:tc>
          <w:tcPr>
            <w:tcW w:w="58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备注</w:t>
            </w:r>
          </w:p>
        </w:tc>
      </w:tr>
      <w:tr>
        <w:tblPrEx>
          <w:tblCellMar>
            <w:top w:w="0" w:type="dxa"/>
            <w:left w:w="108" w:type="dxa"/>
            <w:bottom w:w="0" w:type="dxa"/>
            <w:right w:w="108" w:type="dxa"/>
          </w:tblCellMar>
        </w:tblPrEx>
        <w:trPr>
          <w:trHeight w:val="146" w:hRule="atLeast"/>
        </w:trPr>
        <w:tc>
          <w:tcPr>
            <w:tcW w:w="1126"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全部招标</w:t>
            </w:r>
          </w:p>
        </w:tc>
        <w:tc>
          <w:tcPr>
            <w:tcW w:w="75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部分招标</w:t>
            </w:r>
          </w:p>
        </w:tc>
        <w:tc>
          <w:tcPr>
            <w:tcW w:w="818"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自行招标</w:t>
            </w:r>
          </w:p>
        </w:tc>
        <w:tc>
          <w:tcPr>
            <w:tcW w:w="83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委托招标</w:t>
            </w:r>
          </w:p>
        </w:tc>
        <w:tc>
          <w:tcPr>
            <w:tcW w:w="820"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公开招标</w:t>
            </w:r>
          </w:p>
        </w:tc>
        <w:tc>
          <w:tcPr>
            <w:tcW w:w="824" w:type="dxa"/>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邀请招标</w:t>
            </w:r>
          </w:p>
        </w:tc>
        <w:tc>
          <w:tcPr>
            <w:tcW w:w="817"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c>
          <w:tcPr>
            <w:tcW w:w="1129"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c>
          <w:tcPr>
            <w:tcW w:w="580" w:type="dxa"/>
            <w:vMerge w:val="continue"/>
            <w:tcBorders>
              <w:top w:val="single" w:color="000000" w:sz="4" w:space="0"/>
              <w:left w:val="single" w:color="000000" w:sz="4" w:space="0"/>
              <w:bottom w:val="single" w:color="000000" w:sz="4" w:space="0"/>
              <w:right w:val="single" w:color="000000" w:sz="4" w:space="0"/>
            </w:tcBorders>
            <w:noWrap w:val="0"/>
            <w:vAlign w:val="top"/>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勘察</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设计</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建筑工程</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安装工程</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监理</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设备</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材料</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r>
        <w:tblPrEx>
          <w:tblCellMar>
            <w:top w:w="0" w:type="dxa"/>
            <w:left w:w="108" w:type="dxa"/>
            <w:bottom w:w="0" w:type="dxa"/>
            <w:right w:w="108" w:type="dxa"/>
          </w:tblCellMar>
        </w:tblPrEx>
        <w:trPr>
          <w:trHeight w:val="564" w:hRule="atLeast"/>
        </w:trPr>
        <w:tc>
          <w:tcPr>
            <w:tcW w:w="1126"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其他</w:t>
            </w: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75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8"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24"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817"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r>
              <w:rPr>
                <w:rFonts w:hint="eastAsia" w:ascii="Calibri" w:hAnsi="Calibri" w:eastAsia="宋体" w:cs="Times New Roman"/>
                <w:color w:val="auto"/>
                <w:sz w:val="21"/>
                <w:szCs w:val="21"/>
                <w:highlight w:val="none"/>
                <w:lang w:val="en-US" w:eastAsia="zh-CN"/>
              </w:rPr>
              <w:t>√</w:t>
            </w:r>
          </w:p>
        </w:tc>
        <w:tc>
          <w:tcPr>
            <w:tcW w:w="1129"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c>
          <w:tcPr>
            <w:tcW w:w="580" w:type="dxa"/>
            <w:tcBorders>
              <w:top w:val="single" w:color="000000" w:sz="4" w:space="0"/>
              <w:left w:val="single" w:color="000000" w:sz="4" w:space="0"/>
              <w:bottom w:val="single" w:color="000000" w:sz="4" w:space="0"/>
              <w:right w:val="single" w:color="000000" w:sz="4" w:space="0"/>
            </w:tcBorders>
            <w:noWrap w:val="0"/>
            <w:vAlign w:val="center"/>
          </w:tcPr>
          <w:p>
            <w:pPr>
              <w:widowControl w:val="0"/>
              <w:rPr>
                <w:rFonts w:hint="eastAsia" w:ascii="Calibri" w:hAnsi="Calibri" w:eastAsia="宋体" w:cs="Times New Roman"/>
                <w:color w:val="auto"/>
                <w:sz w:val="21"/>
                <w:szCs w:val="21"/>
                <w:highlight w:val="none"/>
                <w:lang w:val="en-US" w:eastAsia="zh-CN"/>
              </w:rPr>
            </w:pPr>
          </w:p>
        </w:tc>
      </w:tr>
    </w:tbl>
    <w:p>
      <w:pPr>
        <w:widowControl w:val="0"/>
        <w:rPr>
          <w:rFonts w:hint="eastAsia" w:ascii="Calibri" w:hAnsi="Calibri" w:eastAsia="宋体" w:cs="Times New Roman"/>
          <w:color w:val="auto"/>
          <w:sz w:val="32"/>
          <w:szCs w:val="32"/>
          <w:highlight w:val="none"/>
          <w:lang w:val="en-US" w:eastAsia="zh-CN"/>
        </w:rPr>
      </w:pPr>
    </w:p>
    <w:p>
      <w:pPr>
        <w:widowControl w:val="0"/>
        <w:ind w:firstLine="640" w:firstLineChars="200"/>
        <w:outlineLvl w:val="1"/>
        <w:rPr>
          <w:rFonts w:hint="eastAsia" w:ascii="Calibri" w:hAnsi="Calibri" w:eastAsia="宋体" w:cs="Times New Roman"/>
          <w:color w:val="auto"/>
          <w:sz w:val="32"/>
          <w:szCs w:val="32"/>
          <w:highlight w:val="none"/>
        </w:rPr>
      </w:pPr>
      <w:bookmarkStart w:id="216" w:name="_Toc18836"/>
      <w:r>
        <w:rPr>
          <w:rFonts w:hint="eastAsia" w:ascii="Calibri" w:hAnsi="Calibri" w:eastAsia="宋体"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项目公告公示</w:t>
      </w:r>
      <w:bookmarkEnd w:id="216"/>
    </w:p>
    <w:p>
      <w:pPr>
        <w:widowControl w:val="0"/>
        <w:ind w:firstLine="640" w:firstLineChars="200"/>
        <w:rPr>
          <w:rFonts w:hint="eastAsia" w:ascii="Calibri" w:hAnsi="Calibri" w:eastAsia="宋体" w:cs="Times New Roman"/>
          <w:color w:val="auto"/>
          <w:sz w:val="32"/>
          <w:szCs w:val="32"/>
          <w:highlight w:val="none"/>
          <w:lang w:eastAsia="zh-CN"/>
        </w:rPr>
      </w:pPr>
      <w:r>
        <w:rPr>
          <w:rFonts w:hint="eastAsia" w:ascii="Calibri" w:hAnsi="Calibri" w:eastAsia="宋体" w:cs="Times New Roman"/>
          <w:color w:val="auto"/>
          <w:sz w:val="32"/>
          <w:szCs w:val="32"/>
          <w:highlight w:val="none"/>
        </w:rPr>
        <w:t>扶贫项目实施需按《新疆维吾尔自治区财政专项扶贫资金（扶贫发展项目管理办法（暂行的通知》（新扶贫领字〔2017〕39号、《新疆维吾尔自治区扶贫资金项目公告公示制度实施办法》（〔2018〕27号等文件精神，按事前、事中、</w:t>
      </w:r>
      <w:r>
        <w:rPr>
          <w:rFonts w:hint="eastAsia" w:ascii="Calibri" w:hAnsi="Calibri" w:eastAsia="宋体" w:cs="Times New Roman"/>
          <w:color w:val="auto"/>
          <w:sz w:val="32"/>
          <w:szCs w:val="32"/>
          <w:highlight w:val="none"/>
          <w:lang w:eastAsia="zh-CN"/>
        </w:rPr>
        <w:t>事后</w:t>
      </w:r>
      <w:r>
        <w:rPr>
          <w:rFonts w:hint="eastAsia" w:ascii="Calibri" w:hAnsi="Calibri" w:eastAsia="宋体" w:cs="Times New Roman"/>
          <w:color w:val="auto"/>
          <w:sz w:val="32"/>
          <w:szCs w:val="32"/>
          <w:highlight w:val="none"/>
        </w:rPr>
        <w:t>增加公示公告章节内容，并明确公示公告的方式</w:t>
      </w:r>
      <w:r>
        <w:rPr>
          <w:rFonts w:hint="eastAsia" w:cs="Times New Roman"/>
          <w:color w:val="auto"/>
          <w:sz w:val="32"/>
          <w:szCs w:val="32"/>
          <w:highlight w:val="none"/>
          <w:lang w:eastAsia="zh-CN"/>
        </w:rPr>
        <w:t>，</w:t>
      </w:r>
      <w:r>
        <w:rPr>
          <w:rFonts w:hint="eastAsia" w:cs="Times New Roman"/>
          <w:color w:val="auto"/>
          <w:sz w:val="32"/>
          <w:szCs w:val="32"/>
          <w:highlight w:val="none"/>
          <w:lang w:val="en-US" w:eastAsia="zh-CN"/>
        </w:rPr>
        <w:t>公示公告时间不少于10天</w:t>
      </w:r>
      <w:r>
        <w:rPr>
          <w:rFonts w:hint="eastAsia" w:cs="Times New Roman"/>
          <w:color w:val="auto"/>
          <w:sz w:val="32"/>
          <w:szCs w:val="32"/>
          <w:highlight w:val="none"/>
          <w:lang w:eastAsia="zh-CN"/>
        </w:rPr>
        <w:t>。</w:t>
      </w:r>
    </w:p>
    <w:p>
      <w:pPr>
        <w:widowControl w:val="0"/>
        <w:ind w:firstLine="643" w:firstLineChars="200"/>
        <w:outlineLvl w:val="0"/>
        <w:rPr>
          <w:rFonts w:hint="eastAsia" w:ascii="Calibri" w:hAnsi="Calibri" w:eastAsia="宋体" w:cs="Times New Roman"/>
          <w:b/>
          <w:bCs/>
          <w:color w:val="auto"/>
          <w:sz w:val="32"/>
          <w:szCs w:val="32"/>
          <w:highlight w:val="none"/>
        </w:rPr>
      </w:pPr>
      <w:bookmarkStart w:id="217" w:name="_Toc27733"/>
      <w:r>
        <w:rPr>
          <w:rFonts w:hint="eastAsia" w:cs="Times New Roman"/>
          <w:b/>
          <w:bCs/>
          <w:color w:val="auto"/>
          <w:sz w:val="32"/>
          <w:szCs w:val="32"/>
          <w:highlight w:val="none"/>
          <w:lang w:eastAsia="zh-CN"/>
        </w:rPr>
        <w:t>七、</w:t>
      </w:r>
      <w:r>
        <w:rPr>
          <w:rFonts w:hint="eastAsia" w:ascii="Calibri" w:hAnsi="Calibri" w:eastAsia="宋体" w:cs="Times New Roman"/>
          <w:b/>
          <w:bCs/>
          <w:color w:val="auto"/>
          <w:sz w:val="32"/>
          <w:szCs w:val="32"/>
          <w:highlight w:val="none"/>
        </w:rPr>
        <w:t>项目绩效目标及效益分析</w:t>
      </w:r>
      <w:bookmarkEnd w:id="217"/>
    </w:p>
    <w:p>
      <w:pPr>
        <w:widowControl w:val="0"/>
        <w:ind w:firstLine="640" w:firstLineChars="200"/>
        <w:outlineLvl w:val="1"/>
        <w:rPr>
          <w:rFonts w:hint="eastAsia" w:ascii="Calibri" w:hAnsi="Calibri" w:eastAsia="宋体" w:cs="Times New Roman"/>
          <w:color w:val="auto"/>
          <w:sz w:val="32"/>
          <w:szCs w:val="32"/>
          <w:highlight w:val="none"/>
        </w:rPr>
      </w:pPr>
      <w:bookmarkStart w:id="218" w:name="_Toc30027"/>
      <w:r>
        <w:rPr>
          <w:rFonts w:hint="eastAsia" w:ascii="Calibri" w:hAnsi="Calibri" w:eastAsia="宋体" w:cs="Times New Roman"/>
          <w:color w:val="auto"/>
          <w:sz w:val="32"/>
          <w:szCs w:val="32"/>
          <w:highlight w:val="none"/>
          <w:lang w:val="en-US" w:eastAsia="zh-CN"/>
        </w:rPr>
        <w:t>1</w:t>
      </w:r>
      <w:r>
        <w:rPr>
          <w:rFonts w:hint="eastAsia" w:cs="Times New Roman"/>
          <w:color w:val="auto"/>
          <w:sz w:val="32"/>
          <w:szCs w:val="32"/>
          <w:highlight w:val="none"/>
          <w:lang w:val="en-US" w:eastAsia="zh-CN"/>
        </w:rPr>
        <w:t>、</w:t>
      </w:r>
      <w:r>
        <w:rPr>
          <w:rFonts w:hint="eastAsia" w:ascii="Calibri" w:hAnsi="Calibri" w:eastAsia="宋体" w:cs="Times New Roman"/>
          <w:color w:val="auto"/>
          <w:sz w:val="32"/>
          <w:szCs w:val="32"/>
          <w:highlight w:val="none"/>
        </w:rPr>
        <w:t>项目覆盖情况</w:t>
      </w:r>
      <w:bookmarkEnd w:id="218"/>
    </w:p>
    <w:p>
      <w:pPr>
        <w:widowControl w:val="0"/>
        <w:ind w:firstLine="640" w:firstLineChars="200"/>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全</w:t>
      </w:r>
      <w:r>
        <w:rPr>
          <w:rFonts w:hint="eastAsia" w:ascii="宋体" w:hAnsi="宋体" w:eastAsia="宋体" w:cs="宋体"/>
          <w:b w:val="0"/>
          <w:bCs w:val="0"/>
          <w:color w:val="000000"/>
          <w:sz w:val="32"/>
          <w:szCs w:val="32"/>
          <w:lang w:val="en-US" w:eastAsia="zh-CN"/>
        </w:rPr>
        <w:t>江阿布拉克村</w:t>
      </w:r>
      <w:r>
        <w:rPr>
          <w:rFonts w:hint="eastAsia" w:ascii="宋体" w:hAnsi="宋体" w:eastAsia="宋体" w:cs="宋体"/>
          <w:color w:val="000000"/>
          <w:sz w:val="32"/>
          <w:szCs w:val="32"/>
          <w:lang w:val="en-US" w:eastAsia="zh-CN"/>
        </w:rPr>
        <w:t>633户2166人。全村有3个牧区，其中塔拉依克牧区地处塔斯提风景区、勃尔尼开牧区地处库鲁斯台草原、玛依勒牧区地处玛依勒山冬牧场，有147户501名群众分散居住在3个牧区，</w:t>
      </w:r>
      <w:r>
        <w:rPr>
          <w:rFonts w:hint="eastAsia" w:ascii="宋体" w:hAnsi="宋体" w:eastAsia="宋体" w:cs="宋体"/>
          <w:i w:val="0"/>
          <w:caps w:val="0"/>
          <w:color w:val="000000"/>
          <w:spacing w:val="0"/>
          <w:sz w:val="32"/>
          <w:szCs w:val="32"/>
          <w:shd w:val="clear" w:color="auto" w:fill="FFFFFF"/>
        </w:rPr>
        <w:t>一年四季过着游牧转场的生活</w:t>
      </w:r>
      <w:r>
        <w:rPr>
          <w:rFonts w:hint="eastAsia" w:ascii="宋体" w:hAnsi="宋体" w:cs="宋体"/>
          <w:i w:val="0"/>
          <w:caps w:val="0"/>
          <w:color w:val="000000"/>
          <w:spacing w:val="0"/>
          <w:sz w:val="32"/>
          <w:szCs w:val="32"/>
          <w:shd w:val="clear" w:color="auto" w:fill="FFFFFF"/>
          <w:lang w:eastAsia="zh-CN"/>
        </w:rPr>
        <w:t>。</w:t>
      </w:r>
    </w:p>
    <w:p>
      <w:pPr>
        <w:widowControl w:val="0"/>
        <w:ind w:firstLine="640" w:firstLineChars="200"/>
        <w:outlineLvl w:val="1"/>
        <w:rPr>
          <w:rFonts w:hint="eastAsia" w:ascii="Calibri" w:hAnsi="Calibri" w:eastAsia="宋体" w:cs="Times New Roman"/>
          <w:color w:val="auto"/>
          <w:sz w:val="32"/>
          <w:szCs w:val="32"/>
          <w:highlight w:val="none"/>
        </w:rPr>
      </w:pPr>
      <w:bookmarkStart w:id="219" w:name="_Toc22315"/>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经济效益</w:t>
      </w:r>
      <w:bookmarkEnd w:id="219"/>
    </w:p>
    <w:p>
      <w:pPr>
        <w:widowControl w:val="0"/>
        <w:snapToGrid/>
        <w:spacing w:before="0" w:beforeAutospacing="0" w:after="0" w:afterAutospacing="0" w:line="240" w:lineRule="auto"/>
        <w:ind w:firstLine="640" w:firstLineChars="200"/>
        <w:jc w:val="both"/>
        <w:textAlignment w:val="baseline"/>
        <w:rPr>
          <w:rFonts w:hint="eastAsia" w:ascii="Calibri" w:hAnsi="Calibri" w:eastAsia="宋体" w:cs="Times New Roman"/>
          <w:b w:val="0"/>
          <w:i w:val="0"/>
          <w:caps w:val="0"/>
          <w:color w:val="000000"/>
          <w:spacing w:val="0"/>
          <w:w w:val="100"/>
          <w:sz w:val="32"/>
          <w:szCs w:val="32"/>
        </w:rPr>
      </w:pPr>
      <w:r>
        <w:rPr>
          <w:rFonts w:hint="eastAsia" w:ascii="Calibri" w:hAnsi="Calibri" w:eastAsia="宋体" w:cs="Times New Roman"/>
          <w:b w:val="0"/>
          <w:i w:val="0"/>
          <w:caps w:val="0"/>
          <w:color w:val="000000"/>
          <w:spacing w:val="0"/>
          <w:w w:val="100"/>
          <w:sz w:val="32"/>
          <w:szCs w:val="32"/>
        </w:rPr>
        <w:t>项目实施完工后</w:t>
      </w:r>
      <w:r>
        <w:rPr>
          <w:rFonts w:hint="eastAsia" w:cs="Times New Roman"/>
          <w:b w:val="0"/>
          <w:i w:val="0"/>
          <w:caps w:val="0"/>
          <w:color w:val="000000"/>
          <w:spacing w:val="0"/>
          <w:w w:val="100"/>
          <w:sz w:val="32"/>
          <w:szCs w:val="32"/>
          <w:lang w:val="en-US" w:eastAsia="zh-CN"/>
        </w:rPr>
        <w:t>165户受益</w:t>
      </w:r>
      <w:r>
        <w:rPr>
          <w:rFonts w:hint="eastAsia" w:ascii="Calibri" w:hAnsi="Calibri" w:eastAsia="宋体" w:cs="Times New Roman"/>
          <w:b w:val="0"/>
          <w:i w:val="0"/>
          <w:caps w:val="0"/>
          <w:color w:val="000000"/>
          <w:spacing w:val="0"/>
          <w:w w:val="100"/>
          <w:sz w:val="32"/>
          <w:szCs w:val="32"/>
        </w:rPr>
        <w:t>，改善了村内</w:t>
      </w:r>
      <w:r>
        <w:rPr>
          <w:rFonts w:hint="eastAsia" w:cs="Times New Roman"/>
          <w:b w:val="0"/>
          <w:i w:val="0"/>
          <w:caps w:val="0"/>
          <w:color w:val="000000"/>
          <w:spacing w:val="0"/>
          <w:w w:val="100"/>
          <w:sz w:val="32"/>
          <w:szCs w:val="32"/>
          <w:lang w:eastAsia="zh-CN"/>
        </w:rPr>
        <w:t>家畜养殖发展</w:t>
      </w:r>
      <w:r>
        <w:rPr>
          <w:rFonts w:hint="eastAsia" w:ascii="Calibri" w:hAnsi="Calibri" w:eastAsia="宋体" w:cs="Times New Roman"/>
          <w:b w:val="0"/>
          <w:i w:val="0"/>
          <w:caps w:val="0"/>
          <w:color w:val="000000"/>
          <w:spacing w:val="0"/>
          <w:w w:val="100"/>
          <w:sz w:val="32"/>
          <w:szCs w:val="32"/>
        </w:rPr>
        <w:t>，使得</w:t>
      </w:r>
      <w:r>
        <w:rPr>
          <w:rFonts w:hint="eastAsia" w:cs="Times New Roman"/>
          <w:b w:val="0"/>
          <w:i w:val="0"/>
          <w:caps w:val="0"/>
          <w:color w:val="000000"/>
          <w:spacing w:val="0"/>
          <w:w w:val="100"/>
          <w:sz w:val="32"/>
          <w:szCs w:val="32"/>
          <w:lang w:eastAsia="zh-CN"/>
        </w:rPr>
        <w:t>村民养殖家畜大力发展</w:t>
      </w:r>
      <w:r>
        <w:rPr>
          <w:rFonts w:hint="eastAsia" w:ascii="Calibri" w:hAnsi="Calibri" w:eastAsia="宋体" w:cs="Times New Roman"/>
          <w:b w:val="0"/>
          <w:i w:val="0"/>
          <w:caps w:val="0"/>
          <w:color w:val="000000"/>
          <w:spacing w:val="0"/>
          <w:w w:val="100"/>
          <w:sz w:val="32"/>
          <w:szCs w:val="32"/>
        </w:rPr>
        <w:t>，可为该村</w:t>
      </w:r>
      <w:r>
        <w:rPr>
          <w:rFonts w:hint="eastAsia" w:cs="Times New Roman"/>
          <w:b w:val="0"/>
          <w:i w:val="0"/>
          <w:caps w:val="0"/>
          <w:color w:val="000000"/>
          <w:spacing w:val="0"/>
          <w:w w:val="100"/>
          <w:sz w:val="32"/>
          <w:szCs w:val="32"/>
          <w:lang w:eastAsia="zh-CN"/>
        </w:rPr>
        <w:t>增加</w:t>
      </w:r>
      <w:r>
        <w:rPr>
          <w:rFonts w:hint="eastAsia" w:ascii="Calibri" w:hAnsi="Calibri" w:eastAsia="宋体" w:cs="Times New Roman"/>
          <w:b w:val="0"/>
          <w:i w:val="0"/>
          <w:caps w:val="0"/>
          <w:color w:val="000000"/>
          <w:spacing w:val="0"/>
          <w:w w:val="100"/>
          <w:sz w:val="32"/>
          <w:szCs w:val="32"/>
        </w:rPr>
        <w:t>大量劳力资源，</w:t>
      </w:r>
      <w:r>
        <w:rPr>
          <w:rFonts w:hint="eastAsia" w:cs="Times New Roman"/>
          <w:b w:val="0"/>
          <w:i w:val="0"/>
          <w:caps w:val="0"/>
          <w:color w:val="000000"/>
          <w:spacing w:val="0"/>
          <w:w w:val="100"/>
          <w:sz w:val="32"/>
          <w:szCs w:val="32"/>
          <w:lang w:eastAsia="zh-CN"/>
        </w:rPr>
        <w:t>养殖</w:t>
      </w:r>
      <w:r>
        <w:rPr>
          <w:rFonts w:hint="eastAsia" w:ascii="Calibri" w:hAnsi="Calibri" w:eastAsia="宋体" w:cs="Times New Roman"/>
          <w:b w:val="0"/>
          <w:i w:val="0"/>
          <w:caps w:val="0"/>
          <w:color w:val="000000"/>
          <w:spacing w:val="0"/>
          <w:w w:val="100"/>
          <w:sz w:val="32"/>
          <w:szCs w:val="32"/>
        </w:rPr>
        <w:t>时间与</w:t>
      </w:r>
      <w:r>
        <w:rPr>
          <w:rFonts w:hint="eastAsia" w:cs="Times New Roman"/>
          <w:b w:val="0"/>
          <w:i w:val="0"/>
          <w:caps w:val="0"/>
          <w:color w:val="000000"/>
          <w:spacing w:val="0"/>
          <w:w w:val="100"/>
          <w:sz w:val="32"/>
          <w:szCs w:val="32"/>
          <w:lang w:eastAsia="zh-CN"/>
        </w:rPr>
        <w:t>销售</w:t>
      </w:r>
      <w:r>
        <w:rPr>
          <w:rFonts w:hint="eastAsia" w:ascii="Calibri" w:hAnsi="Calibri" w:eastAsia="宋体" w:cs="Times New Roman"/>
          <w:b w:val="0"/>
          <w:i w:val="0"/>
          <w:caps w:val="0"/>
          <w:color w:val="000000"/>
          <w:spacing w:val="0"/>
          <w:w w:val="100"/>
          <w:sz w:val="32"/>
          <w:szCs w:val="32"/>
        </w:rPr>
        <w:t>达到合理优化，可促进农业经济转型，提高该村招商引资能力，从而促进第三产业发展，促进农牧民群众增加收入，提高生活水平，为促进乡村振兴发展奠定了坚实的基础。</w:t>
      </w:r>
    </w:p>
    <w:p>
      <w:pPr>
        <w:snapToGrid/>
        <w:spacing w:before="0" w:beforeAutospacing="0" w:after="0" w:afterAutospacing="0" w:line="240" w:lineRule="auto"/>
        <w:ind w:firstLine="640" w:firstLineChars="200"/>
        <w:jc w:val="both"/>
        <w:textAlignment w:val="baseline"/>
        <w:rPr>
          <w:rFonts w:hint="eastAsia" w:ascii="宋体" w:hAnsi="宋体" w:eastAsia="宋体" w:cs="宋体"/>
          <w:b w:val="0"/>
          <w:bCs w:val="0"/>
          <w:i w:val="0"/>
          <w:caps w:val="0"/>
          <w:color w:val="000000"/>
          <w:spacing w:val="0"/>
          <w:w w:val="100"/>
          <w:sz w:val="32"/>
          <w:szCs w:val="32"/>
          <w:lang w:val="en-US" w:eastAsia="zh-CN"/>
        </w:rPr>
      </w:pPr>
      <w:r>
        <w:rPr>
          <w:rFonts w:hint="eastAsia" w:ascii="宋体" w:hAnsi="宋体" w:eastAsia="宋体" w:cs="宋体"/>
          <w:b w:val="0"/>
          <w:bCs/>
          <w:i w:val="0"/>
          <w:caps w:val="0"/>
          <w:color w:val="000000"/>
          <w:spacing w:val="0"/>
          <w:w w:val="100"/>
          <w:sz w:val="32"/>
          <w:szCs w:val="32"/>
          <w:lang w:val="en-US" w:eastAsia="zh-CN"/>
        </w:rPr>
        <w:t>收益情况：</w:t>
      </w:r>
      <w:r>
        <w:rPr>
          <w:rFonts w:hint="eastAsia" w:ascii="宋体" w:hAnsi="宋体" w:eastAsia="宋体" w:cs="宋体"/>
          <w:b w:val="0"/>
          <w:bCs w:val="0"/>
          <w:i w:val="0"/>
          <w:caps w:val="0"/>
          <w:color w:val="000000"/>
          <w:spacing w:val="0"/>
          <w:w w:val="100"/>
          <w:sz w:val="32"/>
          <w:szCs w:val="32"/>
          <w:lang w:val="en-US" w:eastAsia="zh-CN"/>
        </w:rPr>
        <w:t>3套小型加工</w:t>
      </w:r>
      <w:r>
        <w:rPr>
          <w:rFonts w:hint="eastAsia" w:ascii="宋体" w:hAnsi="宋体" w:eastAsia="宋体" w:cs="宋体"/>
          <w:b w:val="0"/>
          <w:bCs w:val="0"/>
          <w:i w:val="0"/>
          <w:caps w:val="0"/>
          <w:color w:val="000000"/>
          <w:spacing w:val="0"/>
          <w:w w:val="100"/>
          <w:sz w:val="32"/>
          <w:szCs w:val="32"/>
          <w:lang w:eastAsia="zh-CN"/>
        </w:rPr>
        <w:t>设备，按照每套每小时</w:t>
      </w:r>
      <w:r>
        <w:rPr>
          <w:rFonts w:hint="eastAsia" w:ascii="宋体" w:hAnsi="宋体" w:eastAsia="宋体" w:cs="宋体"/>
          <w:b w:val="0"/>
          <w:bCs w:val="0"/>
          <w:i w:val="0"/>
          <w:caps w:val="0"/>
          <w:color w:val="000000"/>
          <w:spacing w:val="0"/>
          <w:w w:val="100"/>
          <w:sz w:val="32"/>
          <w:szCs w:val="32"/>
          <w:lang w:val="en-US" w:eastAsia="zh-CN"/>
        </w:rPr>
        <w:t>0.5吨，全天8小时，生产周期为6个月计算约2000吨，每吨市场价800元计算，毛收入约160万元；除去水、电、人工相成本30%；年收益约48万元。</w:t>
      </w:r>
    </w:p>
    <w:p>
      <w:pPr>
        <w:snapToGrid/>
        <w:spacing w:before="0" w:beforeAutospacing="0" w:after="0" w:afterAutospacing="0" w:line="240" w:lineRule="auto"/>
        <w:ind w:firstLine="640" w:firstLineChars="200"/>
        <w:jc w:val="both"/>
        <w:textAlignment w:val="baseline"/>
        <w:rPr>
          <w:rFonts w:hint="eastAsia" w:ascii="宋体" w:hAnsi="宋体" w:eastAsia="宋体" w:cs="宋体"/>
          <w:b w:val="0"/>
          <w:bCs/>
          <w:i w:val="0"/>
          <w:caps w:val="0"/>
          <w:color w:val="000000"/>
          <w:spacing w:val="0"/>
          <w:w w:val="100"/>
          <w:sz w:val="32"/>
          <w:szCs w:val="32"/>
          <w:lang w:val="en-US" w:eastAsia="zh-CN"/>
        </w:rPr>
      </w:pPr>
      <w:r>
        <w:rPr>
          <w:rFonts w:hint="eastAsia" w:ascii="宋体" w:hAnsi="宋体" w:eastAsia="宋体" w:cs="宋体"/>
          <w:b w:val="0"/>
          <w:bCs/>
          <w:i w:val="0"/>
          <w:caps w:val="0"/>
          <w:color w:val="000000"/>
          <w:spacing w:val="0"/>
          <w:w w:val="100"/>
          <w:sz w:val="32"/>
          <w:szCs w:val="32"/>
        </w:rPr>
        <w:t>增收情况</w:t>
      </w:r>
      <w:r>
        <w:rPr>
          <w:rFonts w:hint="eastAsia" w:ascii="宋体" w:hAnsi="宋体" w:eastAsia="宋体" w:cs="宋体"/>
          <w:b w:val="0"/>
          <w:bCs/>
          <w:i w:val="0"/>
          <w:caps w:val="0"/>
          <w:color w:val="000000"/>
          <w:spacing w:val="0"/>
          <w:w w:val="100"/>
          <w:sz w:val="32"/>
          <w:szCs w:val="32"/>
          <w:lang w:val="en-US" w:eastAsia="zh-CN"/>
        </w:rPr>
        <w:t>:按照年收益约48万元计算，收入的30%支付村委会的承包费用，村委会可实</w:t>
      </w:r>
      <w:bookmarkStart w:id="225" w:name="_GoBack"/>
      <w:bookmarkEnd w:id="225"/>
      <w:r>
        <w:rPr>
          <w:rFonts w:hint="eastAsia" w:ascii="宋体" w:hAnsi="宋体" w:eastAsia="宋体" w:cs="宋体"/>
          <w:b w:val="0"/>
          <w:bCs/>
          <w:i w:val="0"/>
          <w:caps w:val="0"/>
          <w:color w:val="000000"/>
          <w:spacing w:val="0"/>
          <w:w w:val="100"/>
          <w:sz w:val="32"/>
          <w:szCs w:val="32"/>
          <w:lang w:val="en-US" w:eastAsia="zh-CN"/>
        </w:rPr>
        <w:t>现</w:t>
      </w:r>
      <w:r>
        <w:rPr>
          <w:rFonts w:hint="eastAsia" w:ascii="宋体" w:hAnsi="宋体" w:eastAsia="宋体" w:cs="宋体"/>
          <w:b w:val="0"/>
          <w:bCs/>
          <w:i w:val="0"/>
          <w:caps w:val="0"/>
          <w:color w:val="000000"/>
          <w:spacing w:val="0"/>
          <w:w w:val="100"/>
          <w:sz w:val="32"/>
          <w:szCs w:val="32"/>
        </w:rPr>
        <w:t>增收</w:t>
      </w:r>
      <w:r>
        <w:rPr>
          <w:rFonts w:hint="eastAsia" w:ascii="宋体" w:hAnsi="宋体" w:eastAsia="宋体" w:cs="宋体"/>
          <w:b w:val="0"/>
          <w:bCs/>
          <w:i w:val="0"/>
          <w:caps w:val="0"/>
          <w:color w:val="000000"/>
          <w:spacing w:val="0"/>
          <w:w w:val="100"/>
          <w:sz w:val="32"/>
          <w:szCs w:val="32"/>
          <w:lang w:val="en-US" w:eastAsia="zh-CN"/>
        </w:rPr>
        <w:t>14.4万元；</w:t>
      </w:r>
      <w:r>
        <w:rPr>
          <w:rFonts w:hint="eastAsia" w:ascii="宋体" w:hAnsi="宋体" w:eastAsia="宋体" w:cs="宋体"/>
          <w:b w:val="0"/>
          <w:bCs/>
          <w:i w:val="0"/>
          <w:caps w:val="0"/>
          <w:color w:val="000000"/>
          <w:spacing w:val="0"/>
          <w:w w:val="100"/>
          <w:sz w:val="32"/>
          <w:szCs w:val="32"/>
        </w:rPr>
        <w:t>带动建档立卡和易地扶贫搬迁户增收</w:t>
      </w:r>
      <w:r>
        <w:rPr>
          <w:rFonts w:hint="eastAsia" w:ascii="宋体" w:hAnsi="宋体" w:eastAsia="宋体" w:cs="宋体"/>
          <w:b w:val="0"/>
          <w:bCs/>
          <w:i w:val="0"/>
          <w:caps w:val="0"/>
          <w:color w:val="000000"/>
          <w:spacing w:val="0"/>
          <w:w w:val="100"/>
          <w:sz w:val="32"/>
          <w:szCs w:val="32"/>
          <w:lang w:val="en-US" w:eastAsia="zh-CN"/>
        </w:rPr>
        <w:t>457元。</w:t>
      </w:r>
    </w:p>
    <w:p>
      <w:pPr>
        <w:widowControl w:val="0"/>
        <w:ind w:firstLine="640" w:firstLineChars="200"/>
        <w:outlineLvl w:val="1"/>
        <w:rPr>
          <w:rFonts w:hint="eastAsia" w:ascii="Calibri" w:hAnsi="Calibri" w:eastAsia="宋体" w:cs="Times New Roman"/>
          <w:color w:val="auto"/>
          <w:sz w:val="32"/>
          <w:szCs w:val="32"/>
          <w:highlight w:val="none"/>
        </w:rPr>
      </w:pPr>
      <w:bookmarkStart w:id="220" w:name="_Toc2544"/>
      <w:r>
        <w:rPr>
          <w:rFonts w:hint="eastAsia" w:cs="Times New Roman"/>
          <w:color w:val="auto"/>
          <w:sz w:val="32"/>
          <w:szCs w:val="32"/>
          <w:highlight w:val="none"/>
          <w:lang w:val="en-US" w:eastAsia="zh-CN"/>
        </w:rPr>
        <w:t>3、</w:t>
      </w:r>
      <w:r>
        <w:rPr>
          <w:rFonts w:hint="eastAsia" w:ascii="Calibri" w:hAnsi="Calibri" w:eastAsia="宋体" w:cs="Times New Roman"/>
          <w:color w:val="auto"/>
          <w:sz w:val="32"/>
          <w:szCs w:val="32"/>
          <w:highlight w:val="none"/>
        </w:rPr>
        <w:t>社会效益</w:t>
      </w:r>
      <w:bookmarkEnd w:id="220"/>
    </w:p>
    <w:p>
      <w:pPr>
        <w:widowControl w:val="0"/>
        <w:snapToGrid/>
        <w:spacing w:before="0" w:beforeAutospacing="0" w:after="0" w:afterAutospacing="0" w:line="240" w:lineRule="auto"/>
        <w:ind w:firstLine="640" w:firstLineChars="200"/>
        <w:jc w:val="both"/>
        <w:textAlignment w:val="baseline"/>
        <w:rPr>
          <w:rFonts w:hint="eastAsia" w:ascii="Calibri" w:hAnsi="Calibri" w:eastAsia="宋体" w:cs="Times New Roman"/>
          <w:b w:val="0"/>
          <w:i w:val="0"/>
          <w:caps w:val="0"/>
          <w:color w:val="000000"/>
          <w:spacing w:val="0"/>
          <w:w w:val="100"/>
          <w:sz w:val="32"/>
          <w:szCs w:val="32"/>
          <w:highlight w:val="yellow"/>
          <w:lang w:eastAsia="zh-CN"/>
        </w:rPr>
      </w:pPr>
      <w:bookmarkStart w:id="221" w:name="_Toc2281"/>
      <w:r>
        <w:rPr>
          <w:rFonts w:hint="eastAsia" w:ascii="Calibri" w:hAnsi="Calibri" w:eastAsia="宋体" w:cs="Times New Roman"/>
          <w:b w:val="0"/>
          <w:i w:val="0"/>
          <w:caps w:val="0"/>
          <w:color w:val="000000"/>
          <w:spacing w:val="0"/>
          <w:w w:val="100"/>
          <w:sz w:val="32"/>
          <w:szCs w:val="32"/>
        </w:rPr>
        <w:t>项目建成后可以提高</w:t>
      </w:r>
      <w:r>
        <w:rPr>
          <w:rFonts w:hint="eastAsia" w:cs="Times New Roman"/>
          <w:b w:val="0"/>
          <w:i w:val="0"/>
          <w:caps w:val="0"/>
          <w:color w:val="000000"/>
          <w:spacing w:val="0"/>
          <w:w w:val="100"/>
          <w:sz w:val="32"/>
          <w:szCs w:val="32"/>
          <w:lang w:val="en-US" w:eastAsia="zh-CN"/>
        </w:rPr>
        <w:t>我乡增收</w:t>
      </w:r>
      <w:r>
        <w:rPr>
          <w:rFonts w:hint="eastAsia" w:ascii="宋体" w:hAnsi="宋体" w:cs="宋体"/>
          <w:b w:val="0"/>
          <w:bCs w:val="0"/>
          <w:i w:val="0"/>
          <w:caps w:val="0"/>
          <w:color w:val="000000"/>
          <w:spacing w:val="0"/>
          <w:w w:val="100"/>
          <w:sz w:val="32"/>
          <w:szCs w:val="32"/>
          <w:lang w:val="en-US" w:eastAsia="zh-CN"/>
        </w:rPr>
        <w:t>。</w:t>
      </w:r>
      <w:r>
        <w:rPr>
          <w:rFonts w:hint="eastAsia" w:ascii="Calibri" w:hAnsi="Calibri" w:eastAsia="宋体" w:cs="Times New Roman"/>
          <w:b w:val="0"/>
          <w:i w:val="0"/>
          <w:caps w:val="0"/>
          <w:color w:val="000000"/>
          <w:spacing w:val="0"/>
          <w:w w:val="100"/>
          <w:sz w:val="32"/>
          <w:szCs w:val="32"/>
        </w:rPr>
        <w:t>改善</w:t>
      </w:r>
      <w:r>
        <w:rPr>
          <w:rFonts w:hint="eastAsia" w:cs="Times New Roman"/>
          <w:b w:val="0"/>
          <w:i w:val="0"/>
          <w:caps w:val="0"/>
          <w:color w:val="000000"/>
          <w:spacing w:val="0"/>
          <w:w w:val="100"/>
          <w:sz w:val="32"/>
          <w:szCs w:val="32"/>
          <w:lang w:val="en-US" w:eastAsia="zh-CN"/>
        </w:rPr>
        <w:t>了农牧民特别是的生产生活</w:t>
      </w:r>
      <w:r>
        <w:rPr>
          <w:rFonts w:hint="eastAsia" w:ascii="Calibri" w:hAnsi="Calibri" w:eastAsia="宋体" w:cs="Times New Roman"/>
          <w:b w:val="0"/>
          <w:i w:val="0"/>
          <w:caps w:val="0"/>
          <w:color w:val="000000"/>
          <w:spacing w:val="0"/>
          <w:w w:val="100"/>
          <w:sz w:val="32"/>
          <w:szCs w:val="32"/>
        </w:rPr>
        <w:t>条件，进一步提升了农牧民群众的幸福感、获得感及满意度。进一步提升了村“两委”为村民办好事办实事的能力和基础，促进了农牧民群众安居乐业，对发展现代农牧业、农业产业化、实现农牧民群众稳得住、能致富有着积极的促进作用。</w:t>
      </w:r>
    </w:p>
    <w:p>
      <w:pPr>
        <w:widowControl w:val="0"/>
        <w:ind w:firstLine="640" w:firstLineChars="200"/>
        <w:outlineLvl w:val="1"/>
        <w:rPr>
          <w:rFonts w:hint="eastAsia" w:ascii="Calibri" w:hAnsi="Calibri" w:eastAsia="宋体" w:cs="Times New Roman"/>
          <w:color w:val="auto"/>
          <w:sz w:val="32"/>
          <w:szCs w:val="32"/>
          <w:highlight w:val="none"/>
        </w:rPr>
      </w:pPr>
      <w:r>
        <w:rPr>
          <w:rFonts w:hint="eastAsia" w:cs="Times New Roman"/>
          <w:color w:val="auto"/>
          <w:sz w:val="32"/>
          <w:szCs w:val="32"/>
          <w:highlight w:val="none"/>
          <w:lang w:val="en-US" w:eastAsia="zh-CN"/>
        </w:rPr>
        <w:t>4、</w:t>
      </w:r>
      <w:r>
        <w:rPr>
          <w:rFonts w:hint="eastAsia" w:ascii="Calibri" w:hAnsi="Calibri" w:eastAsia="宋体" w:cs="Times New Roman"/>
          <w:color w:val="auto"/>
          <w:sz w:val="32"/>
          <w:szCs w:val="32"/>
          <w:highlight w:val="none"/>
        </w:rPr>
        <w:t>可持续性影响</w:t>
      </w:r>
      <w:bookmarkEnd w:id="221"/>
    </w:p>
    <w:p>
      <w:pPr>
        <w:widowControl w:val="0"/>
        <w:ind w:firstLine="640" w:firstLineChars="200"/>
        <w:rPr>
          <w:rFonts w:hint="eastAsia" w:cs="Times New Roman"/>
          <w:color w:val="auto"/>
          <w:sz w:val="32"/>
          <w:szCs w:val="32"/>
          <w:highlight w:val="none"/>
          <w:lang w:val="en-US" w:eastAsia="zh-CN"/>
        </w:rPr>
      </w:pPr>
      <w:r>
        <w:rPr>
          <w:rFonts w:hint="eastAsia" w:ascii="Calibri" w:hAnsi="Calibri" w:eastAsia="宋体" w:cs="Times New Roman"/>
          <w:color w:val="auto"/>
          <w:sz w:val="32"/>
          <w:szCs w:val="32"/>
          <w:highlight w:val="none"/>
        </w:rPr>
        <w:t>项目建成后</w:t>
      </w:r>
      <w:r>
        <w:rPr>
          <w:rFonts w:hint="eastAsia" w:ascii="Calibri" w:hAnsi="Calibri" w:eastAsia="宋体" w:cs="Times New Roman"/>
          <w:color w:val="auto"/>
          <w:sz w:val="32"/>
          <w:szCs w:val="32"/>
          <w:highlight w:val="none"/>
          <w:lang w:val="en-US" w:eastAsia="zh-CN"/>
        </w:rPr>
        <w:t>全</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农牧民可到</w:t>
      </w:r>
      <w:r>
        <w:rPr>
          <w:rFonts w:hint="eastAsia" w:cs="Times New Roman"/>
          <w:color w:val="auto"/>
          <w:sz w:val="32"/>
          <w:szCs w:val="32"/>
          <w:highlight w:val="none"/>
          <w:lang w:val="en-US" w:eastAsia="zh-CN"/>
        </w:rPr>
        <w:t>饲料加工</w:t>
      </w:r>
      <w:r>
        <w:rPr>
          <w:rFonts w:hint="eastAsia" w:ascii="Calibri" w:hAnsi="Calibri" w:eastAsia="宋体" w:cs="Times New Roman"/>
          <w:color w:val="auto"/>
          <w:sz w:val="32"/>
          <w:szCs w:val="32"/>
          <w:highlight w:val="none"/>
          <w:lang w:val="en-US" w:eastAsia="zh-CN"/>
        </w:rPr>
        <w:t>厂务工，提高了全</w:t>
      </w:r>
      <w:r>
        <w:rPr>
          <w:rFonts w:hint="eastAsia" w:cs="Times New Roman"/>
          <w:color w:val="auto"/>
          <w:sz w:val="32"/>
          <w:szCs w:val="32"/>
          <w:highlight w:val="none"/>
          <w:lang w:val="en-US" w:eastAsia="zh-CN"/>
        </w:rPr>
        <w:t>乡</w:t>
      </w:r>
      <w:r>
        <w:rPr>
          <w:rFonts w:hint="eastAsia" w:ascii="Calibri" w:hAnsi="Calibri" w:eastAsia="宋体" w:cs="Times New Roman"/>
          <w:color w:val="auto"/>
          <w:sz w:val="32"/>
          <w:szCs w:val="32"/>
          <w:highlight w:val="none"/>
          <w:lang w:val="en-US" w:eastAsia="zh-CN"/>
        </w:rPr>
        <w:t>农牧民群众劳动致富的能力</w:t>
      </w:r>
      <w:r>
        <w:rPr>
          <w:rFonts w:hint="eastAsia" w:ascii="Calibri" w:hAnsi="Calibri" w:eastAsia="宋体" w:cs="Times New Roman"/>
          <w:color w:val="auto"/>
          <w:sz w:val="32"/>
          <w:szCs w:val="32"/>
          <w:highlight w:val="none"/>
        </w:rPr>
        <w:t>，进一步提高了农牧民群众的生活水平，提升了农牧民群众的幸福感、获得感及满意度。进一步提升了村“两委”为村民办好事办实事的能力和基础，促进了农牧民群众安居乐业，对发展现代农牧业、农业产业化、实现农牧民群众稳得住、能致富有着积极的促进作用。</w:t>
      </w:r>
      <w:r>
        <w:rPr>
          <w:rFonts w:hint="eastAsia" w:cs="Times New Roman"/>
          <w:color w:val="auto"/>
          <w:sz w:val="32"/>
          <w:szCs w:val="32"/>
          <w:highlight w:val="none"/>
          <w:lang w:val="en-US" w:eastAsia="zh-CN"/>
        </w:rPr>
        <w:t xml:space="preserve">  </w:t>
      </w:r>
    </w:p>
    <w:p>
      <w:pPr>
        <w:widowControl w:val="0"/>
        <w:ind w:firstLine="643" w:firstLineChars="200"/>
        <w:rPr>
          <w:rFonts w:hint="eastAsia" w:ascii="宋体" w:hAnsi="宋体" w:eastAsia="宋体" w:cs="宋体"/>
          <w:b w:val="0"/>
          <w:bCs w:val="0"/>
          <w:i w:val="0"/>
          <w:caps w:val="0"/>
          <w:color w:val="000000"/>
          <w:spacing w:val="0"/>
          <w:w w:val="100"/>
          <w:sz w:val="32"/>
          <w:szCs w:val="32"/>
        </w:rPr>
      </w:pPr>
      <w:r>
        <w:rPr>
          <w:rFonts w:hint="eastAsia" w:ascii="宋体" w:hAnsi="宋体" w:eastAsia="宋体" w:cs="宋体"/>
          <w:b/>
          <w:bCs/>
          <w:i w:val="0"/>
          <w:caps w:val="0"/>
          <w:color w:val="000000"/>
          <w:spacing w:val="0"/>
          <w:w w:val="100"/>
          <w:sz w:val="32"/>
          <w:szCs w:val="32"/>
          <w:lang w:val="en-US" w:eastAsia="zh-CN"/>
        </w:rPr>
        <w:t>5</w:t>
      </w:r>
      <w:r>
        <w:rPr>
          <w:rFonts w:hint="eastAsia" w:ascii="宋体" w:hAnsi="宋体" w:cs="宋体"/>
          <w:b/>
          <w:bCs/>
          <w:i w:val="0"/>
          <w:caps w:val="0"/>
          <w:color w:val="000000"/>
          <w:spacing w:val="0"/>
          <w:w w:val="100"/>
          <w:sz w:val="32"/>
          <w:szCs w:val="32"/>
          <w:lang w:val="en-US" w:eastAsia="zh-CN"/>
        </w:rPr>
        <w:t>、</w:t>
      </w:r>
      <w:r>
        <w:rPr>
          <w:rFonts w:hint="eastAsia" w:ascii="宋体" w:hAnsi="宋体" w:eastAsia="宋体" w:cs="宋体"/>
          <w:b w:val="0"/>
          <w:bCs w:val="0"/>
          <w:i w:val="0"/>
          <w:caps w:val="0"/>
          <w:color w:val="000000"/>
          <w:spacing w:val="0"/>
          <w:w w:val="100"/>
          <w:sz w:val="32"/>
          <w:szCs w:val="32"/>
        </w:rPr>
        <w:t>就业情况</w:t>
      </w:r>
    </w:p>
    <w:p>
      <w:pPr>
        <w:widowControl w:val="0"/>
        <w:ind w:firstLine="640" w:firstLineChars="200"/>
        <w:rPr>
          <w:rFonts w:hint="eastAsia" w:ascii="仿宋_GB2312" w:hAnsi="仿宋_GB2312" w:eastAsia="仿宋_GB2312" w:cs="仿宋_GB2312"/>
          <w:b w:val="0"/>
          <w:bCs w:val="0"/>
          <w:i w:val="0"/>
          <w:caps w:val="0"/>
          <w:color w:val="000000"/>
          <w:spacing w:val="0"/>
          <w:w w:val="100"/>
          <w:sz w:val="32"/>
          <w:szCs w:val="32"/>
          <w:lang w:val="en-US" w:eastAsia="zh-CN"/>
        </w:rPr>
      </w:pPr>
      <w:r>
        <w:rPr>
          <w:rFonts w:hint="eastAsia" w:ascii="宋体" w:hAnsi="宋体" w:eastAsia="宋体" w:cs="宋体"/>
          <w:b w:val="0"/>
          <w:bCs w:val="0"/>
          <w:i w:val="0"/>
          <w:caps w:val="0"/>
          <w:color w:val="000000"/>
          <w:spacing w:val="0"/>
          <w:w w:val="100"/>
          <w:sz w:val="32"/>
          <w:szCs w:val="32"/>
          <w:lang w:val="en-US" w:eastAsia="zh-CN"/>
        </w:rPr>
        <w:t>按照现有小型加工</w:t>
      </w:r>
      <w:r>
        <w:rPr>
          <w:rFonts w:hint="eastAsia" w:ascii="宋体" w:hAnsi="宋体" w:eastAsia="宋体" w:cs="宋体"/>
          <w:b w:val="0"/>
          <w:bCs w:val="0"/>
          <w:i w:val="0"/>
          <w:caps w:val="0"/>
          <w:color w:val="000000"/>
          <w:spacing w:val="0"/>
          <w:w w:val="100"/>
          <w:sz w:val="32"/>
          <w:szCs w:val="32"/>
          <w:lang w:eastAsia="zh-CN"/>
        </w:rPr>
        <w:t>设备及配套设施，预计配套工人</w:t>
      </w:r>
      <w:r>
        <w:rPr>
          <w:rFonts w:hint="eastAsia" w:ascii="宋体" w:hAnsi="宋体" w:eastAsia="宋体" w:cs="宋体"/>
          <w:b w:val="0"/>
          <w:bCs w:val="0"/>
          <w:i w:val="0"/>
          <w:caps w:val="0"/>
          <w:color w:val="000000"/>
          <w:spacing w:val="0"/>
          <w:w w:val="100"/>
          <w:sz w:val="32"/>
          <w:szCs w:val="32"/>
          <w:lang w:val="en-US" w:eastAsia="zh-CN"/>
        </w:rPr>
        <w:t>8人，主要为配料工、送料工、接料工、电工、普工4名。</w:t>
      </w:r>
    </w:p>
    <w:p>
      <w:pPr>
        <w:widowControl w:val="0"/>
        <w:ind w:firstLine="643" w:firstLineChars="200"/>
        <w:outlineLvl w:val="0"/>
        <w:rPr>
          <w:rFonts w:hint="eastAsia" w:ascii="Calibri" w:hAnsi="Calibri" w:eastAsia="宋体" w:cs="Times New Roman"/>
          <w:b/>
          <w:bCs/>
          <w:color w:val="auto"/>
          <w:sz w:val="32"/>
          <w:szCs w:val="32"/>
          <w:highlight w:val="none"/>
        </w:rPr>
      </w:pPr>
      <w:bookmarkStart w:id="222" w:name="_Toc27420"/>
      <w:r>
        <w:rPr>
          <w:rFonts w:hint="eastAsia" w:cs="Times New Roman"/>
          <w:b/>
          <w:bCs/>
          <w:color w:val="auto"/>
          <w:sz w:val="32"/>
          <w:szCs w:val="32"/>
          <w:highlight w:val="none"/>
          <w:lang w:eastAsia="zh-CN"/>
        </w:rPr>
        <w:t>八、</w:t>
      </w:r>
      <w:r>
        <w:rPr>
          <w:rFonts w:hint="eastAsia" w:ascii="Calibri" w:hAnsi="Calibri" w:eastAsia="宋体" w:cs="Times New Roman"/>
          <w:b/>
          <w:bCs/>
          <w:color w:val="auto"/>
          <w:sz w:val="32"/>
          <w:szCs w:val="32"/>
          <w:highlight w:val="none"/>
        </w:rPr>
        <w:t>风险分析</w:t>
      </w:r>
      <w:bookmarkEnd w:id="222"/>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投资项目的风险是指由于一些不确定因素的存在，导致项目实施后偏离预期结果而造成损失的可能性。项目风险分析旨在识别拟建项目建设和运行中潜在的风险因素，分析风险程度，提出控制风险的对策，以达到降低风险损失的目的。本项目从立项、建设到运营过程中不可避免地要受到众多不确定因素的影响，因此本项目在实施中也毫不例外地会遇到一系列风险，需对各种风险有足够的估计，以便采取相应的对策。</w:t>
      </w:r>
    </w:p>
    <w:p>
      <w:pPr>
        <w:widowControl w:val="0"/>
        <w:numPr>
          <w:ilvl w:val="0"/>
          <w:numId w:val="0"/>
        </w:numPr>
        <w:ind w:firstLine="640" w:firstLineChars="200"/>
        <w:outlineLvl w:val="1"/>
        <w:rPr>
          <w:rFonts w:hint="eastAsia" w:ascii="Calibri" w:hAnsi="Calibri" w:eastAsia="宋体" w:cs="Times New Roman"/>
          <w:color w:val="auto"/>
          <w:sz w:val="32"/>
          <w:szCs w:val="32"/>
          <w:highlight w:val="none"/>
        </w:rPr>
      </w:pPr>
      <w:bookmarkStart w:id="223" w:name="_Toc21243"/>
      <w:r>
        <w:rPr>
          <w:rFonts w:hint="eastAsia" w:cs="Times New Roman"/>
          <w:color w:val="auto"/>
          <w:sz w:val="32"/>
          <w:szCs w:val="32"/>
          <w:highlight w:val="none"/>
          <w:lang w:val="en-US" w:eastAsia="zh-CN"/>
        </w:rPr>
        <w:t>1、</w:t>
      </w:r>
      <w:r>
        <w:rPr>
          <w:rFonts w:hint="eastAsia" w:ascii="Calibri" w:hAnsi="Calibri" w:eastAsia="宋体" w:cs="Times New Roman"/>
          <w:color w:val="auto"/>
          <w:sz w:val="32"/>
          <w:szCs w:val="32"/>
          <w:highlight w:val="none"/>
        </w:rPr>
        <w:t>主要风险因素</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本项目主要风险因素在于地方政策风险、组织管理风险、社会风险、资源风险和自然风险。</w:t>
      </w:r>
      <w:bookmarkEnd w:id="223"/>
    </w:p>
    <w:p>
      <w:pPr>
        <w:widowControl w:val="0"/>
        <w:numPr>
          <w:ilvl w:val="0"/>
          <w:numId w:val="0"/>
        </w:numPr>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通过专家评估法帮助识别风险要素和估计风险程度。对结果分析整理后，结合本报告各部分的研究成果进行汇总如下表：</w:t>
      </w:r>
    </w:p>
    <w:p>
      <w:pPr>
        <w:widowControl w:val="0"/>
        <w:ind w:firstLine="1600" w:firstLineChars="5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 xml:space="preserve">  项目风险因素和风险程度分析表</w:t>
      </w:r>
    </w:p>
    <w:tbl>
      <w:tblPr>
        <w:tblStyle w:val="10"/>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3059"/>
        <w:gridCol w:w="1819"/>
        <w:gridCol w:w="2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序号</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风险因素</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风险程度</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1</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地方政策风险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执行与变化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2</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组织管理风险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机构与人才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3</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社会风险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利益冲突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4</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资源风险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项目资源供给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2"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5</w:t>
            </w:r>
          </w:p>
        </w:tc>
        <w:tc>
          <w:tcPr>
            <w:tcW w:w="305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自然风险</w:t>
            </w:r>
          </w:p>
        </w:tc>
        <w:tc>
          <w:tcPr>
            <w:tcW w:w="1819" w:type="dxa"/>
            <w:noWrap w:val="0"/>
            <w:vAlign w:val="center"/>
          </w:tcPr>
          <w:p>
            <w:pPr>
              <w:widowControl w:val="0"/>
              <w:rPr>
                <w:rFonts w:hint="eastAsia" w:ascii="Calibri" w:hAnsi="Calibri" w:eastAsia="宋体" w:cs="Times New Roman"/>
                <w:color w:val="auto"/>
                <w:sz w:val="21"/>
                <w:szCs w:val="21"/>
                <w:highlight w:val="none"/>
              </w:rPr>
            </w:pPr>
            <w:r>
              <w:rPr>
                <w:rFonts w:hint="eastAsia" w:ascii="Calibri" w:hAnsi="Calibri" w:eastAsia="宋体" w:cs="Times New Roman"/>
                <w:color w:val="auto"/>
                <w:sz w:val="21"/>
                <w:szCs w:val="21"/>
                <w:highlight w:val="none"/>
              </w:rPr>
              <w:t>一般</w:t>
            </w:r>
          </w:p>
        </w:tc>
        <w:tc>
          <w:tcPr>
            <w:tcW w:w="2108" w:type="dxa"/>
            <w:noWrap w:val="0"/>
            <w:vAlign w:val="center"/>
          </w:tcPr>
          <w:p>
            <w:pPr>
              <w:widowControl w:val="0"/>
              <w:rPr>
                <w:rFonts w:hint="eastAsia" w:ascii="Calibri" w:hAnsi="Calibri" w:eastAsia="宋体" w:cs="Times New Roman"/>
                <w:color w:val="auto"/>
                <w:sz w:val="21"/>
                <w:szCs w:val="21"/>
                <w:highlight w:val="none"/>
              </w:rPr>
            </w:pPr>
          </w:p>
        </w:tc>
      </w:tr>
    </w:tbl>
    <w:p>
      <w:pPr>
        <w:widowControl w:val="0"/>
        <w:ind w:firstLine="640" w:firstLineChars="200"/>
        <w:outlineLvl w:val="1"/>
        <w:rPr>
          <w:rFonts w:hint="eastAsia" w:ascii="Calibri" w:hAnsi="Calibri" w:eastAsia="宋体" w:cs="Times New Roman"/>
          <w:color w:val="auto"/>
          <w:sz w:val="32"/>
          <w:szCs w:val="32"/>
          <w:highlight w:val="none"/>
        </w:rPr>
      </w:pPr>
      <w:bookmarkStart w:id="224" w:name="_Toc32490"/>
      <w:r>
        <w:rPr>
          <w:rFonts w:hint="eastAsia" w:cs="Times New Roman"/>
          <w:color w:val="auto"/>
          <w:sz w:val="32"/>
          <w:szCs w:val="32"/>
          <w:highlight w:val="none"/>
          <w:lang w:val="en-US" w:eastAsia="zh-CN"/>
        </w:rPr>
        <w:t>2、</w:t>
      </w:r>
      <w:r>
        <w:rPr>
          <w:rFonts w:hint="eastAsia" w:ascii="Calibri" w:hAnsi="Calibri" w:eastAsia="宋体" w:cs="Times New Roman"/>
          <w:color w:val="auto"/>
          <w:sz w:val="32"/>
          <w:szCs w:val="32"/>
          <w:highlight w:val="none"/>
        </w:rPr>
        <w:t>防范化解措施</w:t>
      </w:r>
      <w:bookmarkEnd w:id="224"/>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地方政策风险对策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项目实施具有极强的政府行为并依据政策推进，政策的执行风险和裕民县政府各相关职能部门的配合风险，对本项目建设有重大影响。</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工程建设组织管理风险对策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项目参与方众多，各方动机和目的不一致导致项目合作的风险，可能影响项目目标和进展的实现，项目组织内部各部门对项目的理解、态度和行动的不一致而产生风险。完善项目各参与方的合同，加强合同管理，可以降低项目的组织风险。</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项目实施社会风险对策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本项目工程内容涉及直接民生利益，关系到社会稳定、民生安全、和谐社会建设等重大问题，社会影响面较广泛，包括社会治安、文化素质、公众态度等。对策：严格执行政府回购政策和国家相关政策，各级政府和相关部门在项目实施的每个环节，都要把人民群众的利益放在第一位，及时排解各种矛盾，确保项目顺利进行。</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工程建设的资源风险对策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本项目工程建设资源风险较小，项目建设所需各项资源能够满足工程实施需要。</w:t>
      </w:r>
    </w:p>
    <w:p>
      <w:pPr>
        <w:widowControl w:val="0"/>
        <w:ind w:firstLine="640" w:firstLineChars="200"/>
        <w:rPr>
          <w:rFonts w:hint="eastAsia" w:ascii="Calibri" w:hAnsi="Calibri" w:eastAsia="宋体" w:cs="Times New Roman"/>
          <w:color w:val="auto"/>
          <w:sz w:val="32"/>
          <w:szCs w:val="32"/>
          <w:highlight w:val="none"/>
        </w:rPr>
      </w:pPr>
      <w:r>
        <w:rPr>
          <w:rFonts w:hint="eastAsia" w:ascii="Calibri" w:hAnsi="Calibri" w:eastAsia="宋体" w:cs="Times New Roman"/>
          <w:color w:val="auto"/>
          <w:sz w:val="32"/>
          <w:szCs w:val="32"/>
          <w:highlight w:val="none"/>
        </w:rPr>
        <w:t>自然风险对策</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地震、火灾、风暴、暴雨、暴雪、极端气候的自然风险，具有高度不确定性和偶然性，很难准确预测，现代科技发展很快，人们认识自然的能力大步提高</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运用现代科学技术，尽量把握自然灾害产生的规律，提前做好各项应急措施</w:t>
      </w:r>
      <w:r>
        <w:rPr>
          <w:rFonts w:hint="eastAsia" w:ascii="Calibri" w:hAnsi="Calibri" w:eastAsia="宋体" w:cs="Times New Roman"/>
          <w:color w:val="auto"/>
          <w:sz w:val="32"/>
          <w:szCs w:val="32"/>
          <w:highlight w:val="none"/>
          <w:lang w:eastAsia="zh-CN"/>
        </w:rPr>
        <w:t>；</w:t>
      </w:r>
      <w:r>
        <w:rPr>
          <w:rFonts w:hint="eastAsia" w:ascii="Calibri" w:hAnsi="Calibri" w:eastAsia="宋体" w:cs="Times New Roman"/>
          <w:color w:val="auto"/>
          <w:sz w:val="32"/>
          <w:szCs w:val="32"/>
          <w:highlight w:val="none"/>
        </w:rPr>
        <w:t>运用现代完备的保险体系，如作好各种风险的保险储备，做好风险转移。</w:t>
      </w:r>
    </w:p>
    <w:p>
      <w:pPr>
        <w:rPr>
          <w:color w:val="auto"/>
          <w:highlight w:val="none"/>
        </w:rPr>
      </w:pPr>
    </w:p>
    <w:p/>
    <w:sectPr>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roman"/>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785135"/>
    <w:rsid w:val="240B26A7"/>
    <w:rsid w:val="2915620C"/>
    <w:rsid w:val="505D2F81"/>
    <w:rsid w:val="5BB330A8"/>
    <w:rsid w:val="661F5124"/>
    <w:rsid w:val="669161F0"/>
    <w:rsid w:val="6F224AFD"/>
    <w:rsid w:val="78785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imes New Roman"/>
      <w:kern w:val="2"/>
      <w:sz w:val="21"/>
      <w:szCs w:val="21"/>
      <w:lang w:val="en-US" w:eastAsia="zh-CN" w:bidi="ar-SA"/>
    </w:rPr>
  </w:style>
  <w:style w:type="paragraph" w:styleId="2">
    <w:name w:val="heading 2"/>
    <w:basedOn w:val="1"/>
    <w:next w:val="3"/>
    <w:unhideWhenUsed/>
    <w:qFormat/>
    <w:uiPriority w:val="99"/>
    <w:pPr>
      <w:keepNext/>
      <w:keepLines/>
      <w:spacing w:before="260" w:after="260" w:line="416" w:lineRule="auto"/>
      <w:jc w:val="left"/>
      <w:outlineLvl w:val="1"/>
    </w:pPr>
    <w:rPr>
      <w:rFonts w:ascii="等线 Light" w:hAnsi="等线 Light" w:eastAsia="宋体" w:cs="Times New Roman"/>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val="0"/>
      <w:tabs>
        <w:tab w:val="right" w:leader="dot" w:pos="8296"/>
      </w:tabs>
      <w:spacing w:line="360" w:lineRule="auto"/>
      <w:jc w:val="left"/>
    </w:pPr>
    <w:rPr>
      <w:rFonts w:eastAsia="仿宋_GB2312"/>
      <w:b/>
      <w:bCs/>
      <w:caps/>
      <w:sz w:val="28"/>
      <w:szCs w:val="24"/>
    </w:rPr>
  </w:style>
  <w:style w:type="paragraph" w:styleId="9">
    <w:name w:val="toc 2"/>
    <w:basedOn w:val="1"/>
    <w:next w:val="1"/>
    <w:qFormat/>
    <w:uiPriority w:val="39"/>
    <w:pPr>
      <w:widowControl w:val="0"/>
      <w:spacing w:line="360" w:lineRule="auto"/>
      <w:ind w:firstLine="100" w:firstLineChars="100"/>
      <w:jc w:val="left"/>
    </w:pPr>
    <w:rPr>
      <w:rFonts w:eastAsia="仿宋_GB2312"/>
      <w:smallCaps/>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2021-05-31T04:33:00Z</dcterms:created>
  <dc:creator>啾～</dc:creator>
  <cp:lastModifiedBy>念。</cp:lastModifiedBy>
  <dcterms:modified xsi:type="dcterms:W3CDTF">2021-09-27T09:51:43Z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3FC8DDA453A74CEFA86457F9678F98B7</vt:lpwstr>
  </property>
</Properties>
</file>